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color w:val="000000" w:themeColor="text1"/>
          <w:sz w:val="36"/>
          <w:szCs w:val="21"/>
          <w14:textFill>
            <w14:solidFill>
              <w14:schemeClr w14:val="tx1"/>
            </w14:solidFill>
          </w14:textFill>
        </w:rPr>
      </w:pPr>
    </w:p>
    <w:p>
      <w:pPr>
        <w:rPr>
          <w:rStyle w:val="47"/>
          <w:rFonts w:ascii="宋体" w:hAnsi="宋体" w:cs="宋体"/>
          <w:color w:val="000000" w:themeColor="text1"/>
          <w:sz w:val="36"/>
          <w14:textFill>
            <w14:solidFill>
              <w14:schemeClr w14:val="tx1"/>
            </w14:solidFill>
          </w14:textFill>
        </w:rPr>
      </w:pPr>
    </w:p>
    <w:p>
      <w:pPr>
        <w:jc w:val="center"/>
        <w:rPr>
          <w:rStyle w:val="47"/>
          <w:rFonts w:ascii="宋体" w:hAnsi="宋体" w:cs="宋体"/>
          <w:b/>
          <w:color w:val="000000" w:themeColor="text1"/>
          <w:sz w:val="84"/>
          <w14:textFill>
            <w14:solidFill>
              <w14:schemeClr w14:val="tx1"/>
            </w14:solidFill>
          </w14:textFill>
        </w:rPr>
      </w:pPr>
      <w:r>
        <w:rPr>
          <w:rStyle w:val="47"/>
          <w:rFonts w:hint="eastAsia" w:ascii="宋体" w:hAnsi="宋体" w:cs="宋体"/>
          <w:b/>
          <w:color w:val="000000" w:themeColor="text1"/>
          <w:sz w:val="84"/>
          <w14:textFill>
            <w14:solidFill>
              <w14:schemeClr w14:val="tx1"/>
            </w14:solidFill>
          </w14:textFill>
        </w:rPr>
        <w:t>招 标 文 件</w:t>
      </w:r>
    </w:p>
    <w:p>
      <w:pPr>
        <w:rPr>
          <w:rStyle w:val="47"/>
          <w:rFonts w:ascii="宋体" w:hAnsi="宋体" w:cs="宋体"/>
          <w:b/>
          <w:color w:val="000000" w:themeColor="text1"/>
          <w:sz w:val="32"/>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pStyle w:val="21"/>
        <w:rPr>
          <w:rFonts w:cs="宋体"/>
          <w:color w:val="000000" w:themeColor="text1"/>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ind w:firstLine="723" w:firstLineChars="200"/>
        <w:rPr>
          <w:rStyle w:val="47"/>
          <w:rFonts w:ascii="宋体" w:hAnsi="宋体" w:cs="宋体"/>
          <w:b/>
          <w:color w:val="000000" w:themeColor="text1"/>
          <w:sz w:val="36"/>
          <w14:textFill>
            <w14:solidFill>
              <w14:schemeClr w14:val="tx1"/>
            </w14:solidFill>
          </w14:textFill>
        </w:rPr>
      </w:pPr>
      <w:r>
        <w:rPr>
          <w:rStyle w:val="47"/>
          <w:rFonts w:hint="eastAsia" w:ascii="宋体" w:hAnsi="宋体" w:cs="宋体"/>
          <w:b/>
          <w:color w:val="000000" w:themeColor="text1"/>
          <w:sz w:val="36"/>
          <w14:textFill>
            <w14:solidFill>
              <w14:schemeClr w14:val="tx1"/>
            </w14:solidFill>
          </w14:textFill>
        </w:rPr>
        <w:t>项目编号：2023-010W</w:t>
      </w:r>
    </w:p>
    <w:p>
      <w:pPr>
        <w:jc w:val="center"/>
        <w:rPr>
          <w:rStyle w:val="47"/>
          <w:rFonts w:ascii="宋体" w:hAnsi="宋体" w:cs="宋体"/>
          <w:b/>
          <w:color w:val="000000" w:themeColor="text1"/>
          <w:sz w:val="32"/>
          <w14:textFill>
            <w14:solidFill>
              <w14:schemeClr w14:val="tx1"/>
            </w14:solidFill>
          </w14:textFill>
        </w:rPr>
      </w:pPr>
    </w:p>
    <w:p>
      <w:pPr>
        <w:jc w:val="center"/>
        <w:rPr>
          <w:rStyle w:val="47"/>
          <w:rFonts w:ascii="宋体" w:hAnsi="宋体" w:cs="宋体"/>
          <w:b/>
          <w:color w:val="000000" w:themeColor="text1"/>
          <w:sz w:val="32"/>
          <w14:textFill>
            <w14:solidFill>
              <w14:schemeClr w14:val="tx1"/>
            </w14:solidFill>
          </w14:textFill>
        </w:rPr>
      </w:pPr>
    </w:p>
    <w:p>
      <w:pPr>
        <w:ind w:left="2525" w:leftChars="342" w:hanging="1807" w:hangingChars="500"/>
        <w:rPr>
          <w:rStyle w:val="47"/>
          <w:rFonts w:ascii="宋体" w:hAnsi="宋体" w:cs="宋体"/>
          <w:b/>
          <w:color w:val="000000" w:themeColor="text1"/>
          <w:sz w:val="30"/>
          <w:szCs w:val="30"/>
          <w14:textFill>
            <w14:solidFill>
              <w14:schemeClr w14:val="tx1"/>
            </w14:solidFill>
          </w14:textFill>
        </w:rPr>
      </w:pPr>
      <w:r>
        <w:rPr>
          <w:rStyle w:val="47"/>
          <w:rFonts w:hint="eastAsia" w:ascii="宋体" w:hAnsi="宋体" w:cs="宋体"/>
          <w:b/>
          <w:color w:val="000000" w:themeColor="text1"/>
          <w:sz w:val="36"/>
          <w:szCs w:val="36"/>
          <w14:textFill>
            <w14:solidFill>
              <w14:schemeClr w14:val="tx1"/>
            </w14:solidFill>
          </w14:textFill>
        </w:rPr>
        <w:t>项目名称：盐城工业职业技术学院纺纱智能制造中心项目</w:t>
      </w:r>
    </w:p>
    <w:p>
      <w:pPr>
        <w:pStyle w:val="21"/>
        <w:ind w:firstLine="0" w:firstLineChars="0"/>
        <w:rPr>
          <w:rStyle w:val="47"/>
          <w:rFonts w:cs="宋体"/>
          <w:b/>
          <w:color w:val="000000" w:themeColor="text1"/>
          <w:sz w:val="32"/>
          <w:szCs w:val="21"/>
          <w14:textFill>
            <w14:solidFill>
              <w14:schemeClr w14:val="tx1"/>
            </w14:solidFill>
          </w14:textFill>
        </w:rPr>
      </w:pPr>
    </w:p>
    <w:p>
      <w:pPr>
        <w:pStyle w:val="21"/>
        <w:ind w:firstLine="643"/>
        <w:rPr>
          <w:rStyle w:val="47"/>
          <w:rFonts w:cs="宋体"/>
          <w:b/>
          <w:color w:val="000000" w:themeColor="text1"/>
          <w:sz w:val="32"/>
          <w:szCs w:val="21"/>
          <w14:textFill>
            <w14:solidFill>
              <w14:schemeClr w14:val="tx1"/>
            </w14:solidFill>
          </w14:textFill>
        </w:rPr>
      </w:pPr>
    </w:p>
    <w:p>
      <w:pPr>
        <w:pStyle w:val="107"/>
        <w:rPr>
          <w:rStyle w:val="47"/>
          <w:rFonts w:ascii="宋体" w:hAnsi="宋体" w:eastAsia="宋体" w:cs="宋体"/>
          <w:b/>
          <w:color w:val="000000" w:themeColor="text1"/>
          <w:sz w:val="32"/>
          <w14:textFill>
            <w14:solidFill>
              <w14:schemeClr w14:val="tx1"/>
            </w14:solidFill>
          </w14:textFill>
        </w:rPr>
      </w:pPr>
    </w:p>
    <w:p>
      <w:pPr>
        <w:pStyle w:val="107"/>
        <w:rPr>
          <w:rStyle w:val="47"/>
          <w:rFonts w:ascii="宋体" w:hAnsi="宋体" w:eastAsia="宋体" w:cs="宋体"/>
          <w:b/>
          <w:color w:val="000000" w:themeColor="text1"/>
          <w:sz w:val="32"/>
          <w14:textFill>
            <w14:solidFill>
              <w14:schemeClr w14:val="tx1"/>
            </w14:solidFill>
          </w14:textFill>
        </w:rPr>
      </w:pPr>
    </w:p>
    <w:p>
      <w:pPr>
        <w:spacing w:after="290" w:afterLines="100" w:line="360" w:lineRule="auto"/>
        <w:jc w:val="center"/>
        <w:rPr>
          <w:rStyle w:val="47"/>
          <w:rFonts w:ascii="宋体" w:hAnsi="宋体" w:cs="宋体"/>
          <w:bCs/>
          <w:color w:val="000000" w:themeColor="text1"/>
          <w:sz w:val="36"/>
          <w:szCs w:val="36"/>
          <w14:textFill>
            <w14:solidFill>
              <w14:schemeClr w14:val="tx1"/>
            </w14:solidFill>
          </w14:textFill>
        </w:rPr>
      </w:pPr>
      <w:r>
        <w:rPr>
          <w:rStyle w:val="47"/>
          <w:rFonts w:hint="eastAsia" w:ascii="宋体" w:hAnsi="宋体" w:cs="宋体"/>
          <w:bCs/>
          <w:color w:val="000000" w:themeColor="text1"/>
          <w:sz w:val="36"/>
          <w:szCs w:val="36"/>
          <w14:textFill>
            <w14:solidFill>
              <w14:schemeClr w14:val="tx1"/>
            </w14:solidFill>
          </w14:textFill>
        </w:rPr>
        <w:t>采购人：盐城工业职业技术学院</w:t>
      </w:r>
    </w:p>
    <w:p>
      <w:pPr>
        <w:pStyle w:val="10"/>
        <w:spacing w:line="360" w:lineRule="auto"/>
        <w:ind w:left="0" w:leftChars="0" w:right="0" w:rightChars="0"/>
        <w:jc w:val="center"/>
        <w:rPr>
          <w:rStyle w:val="47"/>
          <w:rFonts w:ascii="宋体" w:hAnsi="宋体" w:cs="宋体"/>
          <w:bCs/>
          <w:color w:val="000000" w:themeColor="text1"/>
          <w:sz w:val="36"/>
          <w:szCs w:val="36"/>
          <w14:textFill>
            <w14:solidFill>
              <w14:schemeClr w14:val="tx1"/>
            </w14:solidFill>
          </w14:textFill>
        </w:rPr>
      </w:pPr>
      <w:r>
        <w:rPr>
          <w:rStyle w:val="47"/>
          <w:rFonts w:hint="eastAsia" w:ascii="宋体" w:hAnsi="宋体" w:cs="宋体"/>
          <w:bCs/>
          <w:color w:val="000000" w:themeColor="text1"/>
          <w:sz w:val="36"/>
          <w:szCs w:val="36"/>
          <w14:textFill>
            <w14:solidFill>
              <w14:schemeClr w14:val="tx1"/>
            </w14:solidFill>
          </w14:textFill>
        </w:rPr>
        <w:t>代理人：江苏伟业项目管理有限公司</w:t>
      </w:r>
    </w:p>
    <w:p>
      <w:pPr>
        <w:jc w:val="center"/>
        <w:rPr>
          <w:rStyle w:val="47"/>
          <w:rFonts w:ascii="宋体" w:hAnsi="宋体" w:cs="宋体"/>
          <w:color w:val="000000" w:themeColor="text1"/>
          <w:sz w:val="36"/>
          <w:szCs w:val="36"/>
          <w14:textFill>
            <w14:solidFill>
              <w14:schemeClr w14:val="tx1"/>
            </w14:solidFill>
          </w14:textFill>
        </w:rPr>
      </w:pPr>
    </w:p>
    <w:p>
      <w:pPr>
        <w:jc w:val="center"/>
        <w:rPr>
          <w:rStyle w:val="47"/>
          <w:rFonts w:ascii="宋体" w:hAnsi="宋体" w:cs="宋体"/>
          <w:color w:val="000000" w:themeColor="text1"/>
          <w:sz w:val="36"/>
          <w:szCs w:val="36"/>
          <w14:textFill>
            <w14:solidFill>
              <w14:schemeClr w14:val="tx1"/>
            </w14:solidFill>
          </w14:textFill>
        </w:rPr>
      </w:pPr>
      <w:r>
        <w:rPr>
          <w:rStyle w:val="47"/>
          <w:rFonts w:hint="eastAsia" w:ascii="宋体" w:hAnsi="宋体" w:cs="宋体"/>
          <w:color w:val="000000" w:themeColor="text1"/>
          <w:sz w:val="36"/>
          <w:szCs w:val="36"/>
          <w14:textFill>
            <w14:solidFill>
              <w14:schemeClr w14:val="tx1"/>
            </w14:solidFill>
          </w14:textFill>
        </w:rPr>
        <w:t>2023年</w:t>
      </w:r>
      <w:r>
        <w:rPr>
          <w:rStyle w:val="47"/>
          <w:rFonts w:ascii="宋体" w:hAnsi="宋体" w:cs="宋体"/>
          <w:color w:val="000000" w:themeColor="text1"/>
          <w:sz w:val="36"/>
          <w:szCs w:val="36"/>
          <w14:textFill>
            <w14:solidFill>
              <w14:schemeClr w14:val="tx1"/>
            </w14:solidFill>
          </w14:textFill>
        </w:rPr>
        <w:t>10</w:t>
      </w:r>
      <w:r>
        <w:rPr>
          <w:rStyle w:val="47"/>
          <w:rFonts w:hint="eastAsia" w:ascii="宋体" w:hAnsi="宋体" w:cs="宋体"/>
          <w:color w:val="000000" w:themeColor="text1"/>
          <w:sz w:val="36"/>
          <w:szCs w:val="36"/>
          <w14:textFill>
            <w14:solidFill>
              <w14:schemeClr w14:val="tx1"/>
            </w14:solidFill>
          </w14:textFill>
        </w:rPr>
        <w:t>月</w:t>
      </w:r>
      <w:r>
        <w:rPr>
          <w:rStyle w:val="47"/>
          <w:rFonts w:hint="eastAsia" w:ascii="宋体" w:hAnsi="宋体" w:cs="宋体"/>
          <w:color w:val="000000" w:themeColor="text1"/>
          <w:sz w:val="36"/>
          <w:szCs w:val="36"/>
          <w:lang w:val="en-US" w:eastAsia="zh-CN"/>
          <w14:textFill>
            <w14:solidFill>
              <w14:schemeClr w14:val="tx1"/>
            </w14:solidFill>
          </w14:textFill>
        </w:rPr>
        <w:t>19</w:t>
      </w:r>
      <w:r>
        <w:rPr>
          <w:rStyle w:val="47"/>
          <w:rFonts w:hint="eastAsia" w:ascii="宋体" w:hAnsi="宋体" w:cs="宋体"/>
          <w:color w:val="000000" w:themeColor="text1"/>
          <w:sz w:val="36"/>
          <w:szCs w:val="36"/>
          <w14:textFill>
            <w14:solidFill>
              <w14:schemeClr w14:val="tx1"/>
            </w14:solidFill>
          </w14:textFill>
        </w:rPr>
        <w:t>日</w:t>
      </w:r>
    </w:p>
    <w:p>
      <w:pPr>
        <w:spacing w:line="480" w:lineRule="auto"/>
        <w:rPr>
          <w:rStyle w:val="47"/>
          <w:rFonts w:ascii="宋体" w:hAnsi="宋体" w:cs="宋体"/>
          <w:color w:val="000000" w:themeColor="text1"/>
          <w14:textFill>
            <w14:solidFill>
              <w14:schemeClr w14:val="tx1"/>
            </w14:solidFill>
          </w14:textFill>
        </w:rPr>
      </w:pPr>
    </w:p>
    <w:p>
      <w:pPr>
        <w:spacing w:line="480" w:lineRule="auto"/>
        <w:jc w:val="center"/>
        <w:rPr>
          <w:rStyle w:val="47"/>
          <w:rFonts w:ascii="宋体" w:hAnsi="宋体" w:cs="宋体"/>
          <w:color w:val="000000" w:themeColor="text1"/>
          <w14:textFill>
            <w14:solidFill>
              <w14:schemeClr w14:val="tx1"/>
            </w14:solidFill>
          </w14:textFill>
        </w:rPr>
        <w:sectPr>
          <w:headerReference r:id="rId4" w:type="first"/>
          <w:footerReference r:id="rId5" w:type="first"/>
          <w:headerReference r:id="rId3" w:type="default"/>
          <w:pgSz w:w="11906" w:h="16838"/>
          <w:pgMar w:top="1418" w:right="1588" w:bottom="1418" w:left="1365" w:header="851" w:footer="907" w:gutter="0"/>
          <w:pgBorders>
            <w:top w:val="none" w:sz="0" w:space="0"/>
            <w:left w:val="none" w:sz="0" w:space="0"/>
            <w:bottom w:val="none" w:sz="0" w:space="0"/>
            <w:right w:val="none" w:sz="0" w:space="0"/>
          </w:pgBorders>
          <w:pgNumType w:fmt="numberInDash"/>
          <w:cols w:space="720" w:num="1"/>
          <w:titlePg/>
          <w:docGrid w:type="lines" w:linePitch="290" w:charSpace="0"/>
        </w:sectPr>
      </w:pPr>
    </w:p>
    <w:p>
      <w:pPr>
        <w:pStyle w:val="2"/>
        <w:rPr>
          <w:color w:val="000000" w:themeColor="text1"/>
          <w14:textFill>
            <w14:solidFill>
              <w14:schemeClr w14:val="tx1"/>
            </w14:solidFill>
          </w14:textFill>
        </w:rPr>
      </w:pPr>
    </w:p>
    <w:p>
      <w:pPr>
        <w:pStyle w:val="21"/>
        <w:rPr>
          <w:rFonts w:cs="宋体"/>
          <w:color w:val="000000" w:themeColor="text1"/>
          <w14:textFill>
            <w14:solidFill>
              <w14:schemeClr w14:val="tx1"/>
            </w14:solidFill>
          </w14:textFill>
        </w:rPr>
      </w:pPr>
    </w:p>
    <w:p>
      <w:pPr>
        <w:spacing w:line="480" w:lineRule="auto"/>
        <w:jc w:val="center"/>
        <w:rPr>
          <w:rStyle w:val="47"/>
          <w:rFonts w:ascii="宋体" w:hAnsi="宋体" w:cs="宋体"/>
          <w:b/>
          <w:color w:val="000000" w:themeColor="text1"/>
          <w:sz w:val="44"/>
          <w14:textFill>
            <w14:solidFill>
              <w14:schemeClr w14:val="tx1"/>
            </w14:solidFill>
          </w14:textFill>
        </w:rPr>
      </w:pPr>
      <w:r>
        <w:rPr>
          <w:rStyle w:val="47"/>
          <w:rFonts w:hint="eastAsia" w:ascii="宋体" w:hAnsi="宋体" w:cs="宋体"/>
          <w:b/>
          <w:color w:val="000000" w:themeColor="text1"/>
          <w:sz w:val="44"/>
          <w14:textFill>
            <w14:solidFill>
              <w14:schemeClr w14:val="tx1"/>
            </w14:solidFill>
          </w14:textFill>
        </w:rPr>
        <w:t>总  目  录</w:t>
      </w:r>
    </w:p>
    <w:p>
      <w:pPr>
        <w:spacing w:line="480" w:lineRule="auto"/>
        <w:rPr>
          <w:rStyle w:val="47"/>
          <w:rFonts w:ascii="宋体" w:hAnsi="宋体" w:cs="宋体"/>
          <w:b/>
          <w:color w:val="000000" w:themeColor="text1"/>
          <w:sz w:val="28"/>
          <w14:textFill>
            <w14:solidFill>
              <w14:schemeClr w14:val="tx1"/>
            </w14:solidFill>
          </w14:textFill>
        </w:rPr>
      </w:pPr>
    </w:p>
    <w:sdt>
      <w:sdtPr>
        <w:rPr>
          <w:rFonts w:ascii="宋体" w:hAnsi="宋体" w:eastAsia="楷体_GB2312"/>
          <w:color w:val="000000" w:themeColor="text1"/>
          <w:sz w:val="28"/>
          <w:szCs w:val="28"/>
          <w14:textFill>
            <w14:solidFill>
              <w14:schemeClr w14:val="tx1"/>
            </w14:solidFill>
          </w14:textFill>
        </w:rPr>
        <w:id w:val="147461321"/>
        <w:docPartObj>
          <w:docPartGallery w:val="Table of Contents"/>
          <w:docPartUnique/>
        </w:docPartObj>
      </w:sdtPr>
      <w:sdtEndPr>
        <w:rPr>
          <w:rFonts w:ascii="宋体" w:hAnsi="宋体" w:eastAsia="楷体_GB2312" w:cs="宋体"/>
          <w:bCs/>
          <w:color w:val="000000" w:themeColor="text1"/>
          <w:sz w:val="28"/>
          <w:szCs w:val="28"/>
          <w14:textFill>
            <w14:solidFill>
              <w14:schemeClr w14:val="tx1"/>
            </w14:solidFill>
          </w14:textFill>
        </w:rPr>
      </w:sdtEndPr>
      <w:sdtContent>
        <w:p>
          <w:pPr>
            <w:jc w:val="center"/>
            <w:rPr>
              <w:color w:val="000000" w:themeColor="text1"/>
              <w14:textFill>
                <w14:solidFill>
                  <w14:schemeClr w14:val="tx1"/>
                </w14:solidFill>
              </w14:textFill>
            </w:rPr>
          </w:pPr>
        </w:p>
        <w:p>
          <w:pPr>
            <w:pStyle w:val="162"/>
            <w:tabs>
              <w:tab w:val="right" w:leader="dot" w:pos="8953"/>
            </w:tabs>
            <w:rPr>
              <w:rFonts w:ascii="宋体" w:hAnsi="宋体" w:cs="宋体"/>
              <w:color w:val="000000" w:themeColor="text1"/>
              <w:sz w:val="36"/>
              <w:szCs w:val="36"/>
              <w14:textFill>
                <w14:solidFill>
                  <w14:schemeClr w14:val="tx1"/>
                </w14:solidFill>
              </w14:textFill>
            </w:rPr>
          </w:pPr>
          <w:r>
            <w:rPr>
              <w:rStyle w:val="47"/>
              <w:color w:val="000000" w:themeColor="text1"/>
              <w:sz w:val="44"/>
              <w14:textFill>
                <w14:solidFill>
                  <w14:schemeClr w14:val="tx1"/>
                </w14:solidFill>
              </w14:textFill>
            </w:rPr>
            <w:fldChar w:fldCharType="begin"/>
          </w:r>
          <w:r>
            <w:rPr>
              <w:rStyle w:val="47"/>
              <w:rFonts w:ascii="宋体" w:hAnsi="宋体" w:cs="宋体"/>
              <w:bCs/>
              <w:color w:val="000000" w:themeColor="text1"/>
              <w:sz w:val="44"/>
              <w14:textFill>
                <w14:solidFill>
                  <w14:schemeClr w14:val="tx1"/>
                </w14:solidFill>
              </w14:textFill>
            </w:rPr>
            <w:instrText xml:space="preserve">TOC \o "1-1" \h \u </w:instrText>
          </w:r>
          <w:r>
            <w:rPr>
              <w:rStyle w:val="47"/>
              <w:color w:val="000000" w:themeColor="text1"/>
              <w:sz w:val="4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"_Toc18878" </w:instrText>
          </w:r>
          <w:r>
            <w:rPr>
              <w:color w:val="000000" w:themeColor="text1"/>
              <w14:textFill>
                <w14:solidFill>
                  <w14:schemeClr w14:val="tx1"/>
                </w14:solidFill>
              </w14:textFill>
            </w:rPr>
            <w:fldChar w:fldCharType="separate"/>
          </w:r>
          <w:r>
            <w:rPr>
              <w:rFonts w:hint="eastAsia" w:ascii="宋体" w:hAnsi="宋体" w:cs="宋体"/>
              <w:b/>
              <w:color w:val="000000" w:themeColor="text1"/>
              <w:sz w:val="36"/>
              <w:szCs w:val="36"/>
              <w14:textFill>
                <w14:solidFill>
                  <w14:schemeClr w14:val="tx1"/>
                </w14:solidFill>
              </w14:textFill>
            </w:rPr>
            <w:t xml:space="preserve">第一章  </w:t>
          </w:r>
          <w:r>
            <w:rPr>
              <w:rFonts w:hint="eastAsia" w:ascii="宋体" w:hAnsi="宋体" w:cs="宋体"/>
              <w:bCs/>
              <w:color w:val="000000" w:themeColor="text1"/>
              <w:sz w:val="36"/>
              <w:szCs w:val="36"/>
              <w14:textFill>
                <w14:solidFill>
                  <w14:schemeClr w14:val="tx1"/>
                </w14:solidFill>
              </w14:textFill>
            </w:rPr>
            <w:t>招标公告</w:t>
          </w:r>
          <w:r>
            <w:rPr>
              <w:rFonts w:hint="eastAsia" w:ascii="宋体" w:hAnsi="宋体" w:cs="宋体"/>
              <w:bCs/>
              <w:color w:val="000000" w:themeColor="text1"/>
              <w:sz w:val="36"/>
              <w:szCs w:val="36"/>
              <w14:textFill>
                <w14:solidFill>
                  <w14:schemeClr w14:val="tx1"/>
                </w14:solidFill>
              </w14:textFill>
            </w:rPr>
            <w:tab/>
          </w:r>
          <w:r>
            <w:rPr>
              <w:rFonts w:hint="eastAsia" w:ascii="宋体" w:hAnsi="宋体" w:cs="宋体"/>
              <w:bCs/>
              <w:color w:val="000000" w:themeColor="text1"/>
              <w:sz w:val="36"/>
              <w:szCs w:val="36"/>
              <w14:textFill>
                <w14:solidFill>
                  <w14:schemeClr w14:val="tx1"/>
                </w14:solidFill>
              </w14:textFill>
            </w:rPr>
            <w:fldChar w:fldCharType="begin"/>
          </w:r>
          <w:r>
            <w:rPr>
              <w:rFonts w:hint="eastAsia" w:ascii="宋体" w:hAnsi="宋体" w:cs="宋体"/>
              <w:bCs/>
              <w:color w:val="000000" w:themeColor="text1"/>
              <w:sz w:val="36"/>
              <w:szCs w:val="36"/>
              <w14:textFill>
                <w14:solidFill>
                  <w14:schemeClr w14:val="tx1"/>
                </w14:solidFill>
              </w14:textFill>
            </w:rPr>
            <w:instrText xml:space="preserve"> PAGEREF _Toc18878 \h </w:instrText>
          </w:r>
          <w:r>
            <w:rPr>
              <w:rFonts w:hint="eastAsia" w:ascii="宋体" w:hAnsi="宋体" w:cs="宋体"/>
              <w:bCs/>
              <w:color w:val="000000" w:themeColor="text1"/>
              <w:sz w:val="36"/>
              <w:szCs w:val="36"/>
              <w14:textFill>
                <w14:solidFill>
                  <w14:schemeClr w14:val="tx1"/>
                </w14:solidFill>
              </w14:textFill>
            </w:rPr>
            <w:fldChar w:fldCharType="separate"/>
          </w:r>
          <w:r>
            <w:rPr>
              <w:rFonts w:hint="eastAsia" w:ascii="宋体" w:hAnsi="宋体" w:cs="宋体"/>
              <w:bCs/>
              <w:color w:val="000000" w:themeColor="text1"/>
              <w:sz w:val="36"/>
              <w:szCs w:val="36"/>
              <w14:textFill>
                <w14:solidFill>
                  <w14:schemeClr w14:val="tx1"/>
                </w14:solidFill>
              </w14:textFill>
            </w:rPr>
            <w:t>2</w:t>
          </w:r>
          <w:r>
            <w:rPr>
              <w:rFonts w:hint="eastAsia" w:ascii="宋体" w:hAnsi="宋体" w:cs="宋体"/>
              <w:bCs/>
              <w:color w:val="000000" w:themeColor="text1"/>
              <w:sz w:val="36"/>
              <w:szCs w:val="36"/>
              <w14:textFill>
                <w14:solidFill>
                  <w14:schemeClr w14:val="tx1"/>
                </w14:solidFill>
              </w14:textFill>
            </w:rPr>
            <w:fldChar w:fldCharType="end"/>
          </w:r>
          <w:r>
            <w:rPr>
              <w:rFonts w:hint="eastAsia" w:ascii="宋体" w:hAnsi="宋体" w:cs="宋体"/>
              <w:bCs/>
              <w:color w:val="000000" w:themeColor="text1"/>
              <w:sz w:val="36"/>
              <w:szCs w:val="36"/>
              <w14:textFill>
                <w14:solidFill>
                  <w14:schemeClr w14:val="tx1"/>
                </w14:solidFill>
              </w14:textFill>
            </w:rPr>
            <w:fldChar w:fldCharType="end"/>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"_Toc21663"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第二章</w:t>
          </w:r>
          <w:r>
            <w:rPr>
              <w:rFonts w:hint="eastAsia" w:ascii="宋体" w:hAnsi="宋体" w:cs="宋体"/>
              <w:color w:val="000000" w:themeColor="text1"/>
              <w:sz w:val="36"/>
              <w:szCs w:val="36"/>
              <w14:textFill>
                <w14:solidFill>
                  <w14:schemeClr w14:val="tx1"/>
                </w14:solidFill>
              </w14:textFill>
            </w:rPr>
            <w:t xml:space="preserve">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5</w:t>
          </w:r>
          <w:r>
            <w:rPr>
              <w:rFonts w:hint="eastAsia" w:ascii="宋体" w:hAnsi="宋体" w:cs="宋体"/>
              <w:color w:val="000000" w:themeColor="text1"/>
              <w:sz w:val="36"/>
              <w:szCs w:val="36"/>
              <w14:textFill>
                <w14:solidFill>
                  <w14:schemeClr w14:val="tx1"/>
                </w14:solidFill>
              </w14:textFill>
            </w:rPr>
            <w:fldChar w:fldCharType="end"/>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"_Toc19468"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第三章</w:t>
          </w:r>
          <w:r>
            <w:rPr>
              <w:rFonts w:hint="eastAsia" w:ascii="宋体" w:hAnsi="宋体" w:cs="宋体"/>
              <w:color w:val="000000" w:themeColor="text1"/>
              <w:sz w:val="36"/>
              <w:szCs w:val="36"/>
              <w14:textFill>
                <w14:solidFill>
                  <w14:schemeClr w14:val="tx1"/>
                </w14:solidFill>
              </w14:textFill>
            </w:rPr>
            <w:t xml:space="preserve">  合同条款及格式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1</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7</w:t>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"_Toc17926"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 xml:space="preserve">第四章 </w:t>
          </w:r>
          <w:r>
            <w:rPr>
              <w:rFonts w:ascii="宋体" w:hAnsi="宋体" w:cs="宋体"/>
              <w:b/>
              <w:bCs/>
              <w:color w:val="000000" w:themeColor="text1"/>
              <w:sz w:val="36"/>
              <w:szCs w:val="36"/>
              <w14:textFill>
                <w14:solidFill>
                  <w14:schemeClr w14:val="tx1"/>
                </w14:solidFill>
              </w14:textFill>
            </w:rPr>
            <w:t xml:space="preserve"> </w:t>
          </w:r>
          <w:r>
            <w:rPr>
              <w:rFonts w:hint="eastAsia" w:ascii="宋体" w:hAnsi="宋体" w:cs="宋体"/>
              <w:color w:val="000000" w:themeColor="text1"/>
              <w:sz w:val="36"/>
              <w:szCs w:val="36"/>
              <w14:textFill>
                <w14:solidFill>
                  <w14:schemeClr w14:val="tx1"/>
                </w14:solidFill>
              </w14:textFill>
            </w:rPr>
            <w:t>项目需求</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1</w:t>
          </w:r>
        </w:p>
        <w:p>
          <w:pPr>
            <w:pStyle w:val="162"/>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"_Toc32259"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第五章</w:t>
          </w:r>
          <w:r>
            <w:rPr>
              <w:rFonts w:hint="eastAsia" w:ascii="宋体" w:hAnsi="宋体" w:cs="宋体"/>
              <w:color w:val="000000" w:themeColor="text1"/>
              <w:sz w:val="36"/>
              <w:szCs w:val="36"/>
              <w14:textFill>
                <w14:solidFill>
                  <w14:schemeClr w14:val="tx1"/>
                </w14:solidFill>
              </w14:textFill>
            </w:rPr>
            <w:t xml:space="preserve">  评标方法与评标标准</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6</w:t>
          </w:r>
        </w:p>
        <w:p>
          <w:pPr>
            <w:pStyle w:val="162"/>
            <w:tabs>
              <w:tab w:val="right" w:leader="dot" w:pos="8953"/>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"_Toc20541"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第六章</w:t>
          </w:r>
          <w:r>
            <w:rPr>
              <w:rFonts w:hint="eastAsia" w:ascii="宋体" w:hAnsi="宋体" w:cs="宋体"/>
              <w:color w:val="000000" w:themeColor="text1"/>
              <w:sz w:val="36"/>
              <w:szCs w:val="36"/>
              <w14:textFill>
                <w14:solidFill>
                  <w14:schemeClr w14:val="tx1"/>
                </w14:solidFill>
              </w14:textFill>
            </w:rPr>
            <w:t xml:space="preserve">  投标文件格式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9</w:t>
          </w:r>
        </w:p>
        <w:p>
          <w:pPr>
            <w:pStyle w:val="162"/>
            <w:tabs>
              <w:tab w:val="right" w:leader="dot" w:pos="8953"/>
            </w:tabs>
            <w:rPr>
              <w:color w:val="000000" w:themeColor="text1"/>
              <w14:textFill>
                <w14:solidFill>
                  <w14:schemeClr w14:val="tx1"/>
                </w14:solidFill>
              </w14:textFill>
            </w:rPr>
          </w:pPr>
        </w:p>
        <w:p>
          <w:pPr>
            <w:pStyle w:val="37"/>
            <w:jc w:val="both"/>
            <w:rPr>
              <w:rFonts w:ascii="宋体" w:hAnsi="宋体" w:eastAsia="宋体" w:cs="宋体"/>
              <w:bCs/>
              <w:color w:val="000000" w:themeColor="text1"/>
              <w14:textFill>
                <w14:solidFill>
                  <w14:schemeClr w14:val="tx1"/>
                </w14:solidFill>
              </w14:textFill>
            </w:rPr>
            <w:sectPr>
              <w:footerReference r:id="rId7" w:type="first"/>
              <w:footerReference r:id="rId6" w:type="default"/>
              <w:pgSz w:w="11906" w:h="16838"/>
              <w:pgMar w:top="1418" w:right="1588" w:bottom="1418" w:left="1365" w:header="851" w:footer="907" w:gutter="0"/>
              <w:pgBorders>
                <w:top w:val="none" w:sz="0" w:space="0"/>
                <w:left w:val="none" w:sz="0" w:space="0"/>
                <w:bottom w:val="none" w:sz="0" w:space="0"/>
                <w:right w:val="none" w:sz="0" w:space="0"/>
              </w:pgBorders>
              <w:pgNumType w:start="1"/>
              <w:cols w:space="720" w:num="1"/>
              <w:titlePg/>
              <w:docGrid w:type="lines" w:linePitch="290" w:charSpace="0"/>
            </w:sectPr>
          </w:pPr>
          <w:r>
            <w:rPr>
              <w:rFonts w:ascii="宋体" w:hAnsi="宋体" w:eastAsia="宋体" w:cs="宋体"/>
              <w:bCs/>
              <w:color w:val="000000" w:themeColor="text1"/>
              <w14:textFill>
                <w14:solidFill>
                  <w14:schemeClr w14:val="tx1"/>
                </w14:solidFill>
              </w14:textFill>
            </w:rPr>
            <w:fldChar w:fldCharType="end"/>
          </w:r>
        </w:p>
      </w:sdtContent>
    </w:sdt>
    <w:p>
      <w:pPr>
        <w:pStyle w:val="37"/>
        <w:outlineLvl w:val="0"/>
        <w:rPr>
          <w:rStyle w:val="47"/>
          <w:rFonts w:ascii="宋体" w:hAnsi="宋体" w:eastAsia="宋体" w:cs="宋体"/>
          <w:b/>
          <w:bCs/>
          <w:color w:val="000000" w:themeColor="text1"/>
          <w:sz w:val="44"/>
          <w:szCs w:val="44"/>
          <w14:textFill>
            <w14:solidFill>
              <w14:schemeClr w14:val="tx1"/>
            </w14:solidFill>
          </w14:textFill>
        </w:rPr>
      </w:pPr>
      <w:bookmarkStart w:id="0" w:name="_Toc18878"/>
      <w:r>
        <w:rPr>
          <w:rStyle w:val="47"/>
          <w:rFonts w:hint="eastAsia" w:ascii="宋体" w:hAnsi="宋体" w:eastAsia="宋体" w:cs="宋体"/>
          <w:b/>
          <w:bCs/>
          <w:color w:val="000000" w:themeColor="text1"/>
          <w:sz w:val="44"/>
          <w:szCs w:val="44"/>
          <w14:textFill>
            <w14:solidFill>
              <w14:schemeClr w14:val="tx1"/>
            </w14:solidFill>
          </w14:textFill>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color w:val="000000" w:themeColor="text1"/>
          <w14:textFill>
            <w14:solidFill>
              <w14:schemeClr w14:val="tx1"/>
            </w14:solidFill>
          </w14:textFill>
        </w:rPr>
      </w:pPr>
      <w:r>
        <w:rPr>
          <w:rStyle w:val="47"/>
          <w:rFonts w:hint="eastAsia" w:ascii="宋体" w:hAnsi="宋体" w:eastAsia="宋体" w:cs="宋体"/>
          <w:b/>
          <w:bCs/>
          <w:color w:val="000000" w:themeColor="text1"/>
          <w:sz w:val="32"/>
          <w:szCs w:val="32"/>
          <w14:textFill>
            <w14:solidFill>
              <w14:schemeClr w14:val="tx1"/>
            </w14:solidFill>
          </w14:textFill>
        </w:rPr>
        <w:t>盐城工业职业技术学院纺纱智能制造中心招标公告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u w:val="single" w:color="000000"/>
          <w14:textFill>
            <w14:solidFill>
              <w14:schemeClr w14:val="tx1"/>
            </w14:solidFill>
          </w14:textFill>
        </w:rPr>
        <w:t>盐城工业职业技术学院纺纱智能制造中心</w:t>
      </w:r>
      <w:r>
        <w:rPr>
          <w:rStyle w:val="47"/>
          <w:rFonts w:hint="eastAsia" w:ascii="宋体" w:hAnsi="宋体" w:cs="宋体"/>
          <w:bCs/>
          <w:color w:val="000000" w:themeColor="text1"/>
          <w:sz w:val="24"/>
          <w:szCs w:val="24"/>
          <w14:textFill>
            <w14:solidFill>
              <w14:schemeClr w14:val="tx1"/>
            </w14:solidFill>
          </w14:textFill>
        </w:rPr>
        <w:t>招标项目的潜在投标人应在“</w:t>
      </w:r>
      <w:r>
        <w:rPr>
          <w:rStyle w:val="47"/>
          <w:rFonts w:hint="eastAsia" w:ascii="宋体" w:hAnsi="宋体"/>
          <w:bCs/>
          <w:color w:val="000000" w:themeColor="text1"/>
          <w:sz w:val="24"/>
          <w:szCs w:val="24"/>
          <w:u w:val="single"/>
          <w14:textFill>
            <w14:solidFill>
              <w14:schemeClr w14:val="tx1"/>
            </w14:solidFill>
          </w14:textFill>
        </w:rPr>
        <w:t>盐城市政府采购网或盐城工业职业技术学院招标采购网</w:t>
      </w:r>
      <w:r>
        <w:rPr>
          <w:rStyle w:val="47"/>
          <w:rFonts w:hint="eastAsia" w:ascii="宋体" w:hAnsi="宋体" w:cs="宋体"/>
          <w:bCs/>
          <w:color w:val="000000" w:themeColor="text1"/>
          <w:sz w:val="24"/>
          <w:szCs w:val="24"/>
          <w:u w:val="single"/>
          <w14:textFill>
            <w14:solidFill>
              <w14:schemeClr w14:val="tx1"/>
            </w14:solidFill>
          </w14:textFill>
        </w:rPr>
        <w:t>”</w:t>
      </w:r>
      <w:r>
        <w:rPr>
          <w:rStyle w:val="47"/>
          <w:rFonts w:hint="eastAsia" w:ascii="宋体" w:hAnsi="宋体" w:cs="宋体"/>
          <w:bCs/>
          <w:color w:val="000000" w:themeColor="text1"/>
          <w:sz w:val="24"/>
          <w:szCs w:val="24"/>
          <w14:textFill>
            <w14:solidFill>
              <w14:schemeClr w14:val="tx1"/>
            </w14:solidFill>
          </w14:textFill>
        </w:rPr>
        <w:t>获</w:t>
      </w:r>
      <w:r>
        <w:rPr>
          <w:rStyle w:val="47"/>
          <w:rFonts w:hint="eastAsia" w:ascii="宋体" w:hAnsi="宋体" w:cs="宋体"/>
          <w:color w:val="000000" w:themeColor="text1"/>
          <w:sz w:val="24"/>
          <w:szCs w:val="24"/>
          <w14:textFill>
            <w14:solidFill>
              <w14:schemeClr w14:val="tx1"/>
            </w14:solidFill>
          </w14:textFill>
        </w:rPr>
        <w:t>取招标文件，并于</w:t>
      </w:r>
      <w:r>
        <w:rPr>
          <w:rStyle w:val="47"/>
          <w:rFonts w:hint="eastAsia" w:ascii="宋体" w:hAnsi="宋体" w:cs="宋体"/>
          <w:color w:val="000000" w:themeColor="text1"/>
          <w:sz w:val="24"/>
          <w:szCs w:val="24"/>
          <w:u w:val="single" w:color="000000"/>
          <w14:textFill>
            <w14:solidFill>
              <w14:schemeClr w14:val="tx1"/>
            </w14:solidFill>
          </w14:textFill>
        </w:rPr>
        <w:t>2023</w:t>
      </w:r>
      <w:r>
        <w:rPr>
          <w:rStyle w:val="47"/>
          <w:rFonts w:hint="eastAsia" w:ascii="宋体" w:hAnsi="宋体" w:cs="宋体"/>
          <w:bCs/>
          <w:color w:val="000000" w:themeColor="text1"/>
          <w:sz w:val="24"/>
          <w:szCs w:val="24"/>
          <w:u w:val="single" w:color="000000"/>
          <w14:textFill>
            <w14:solidFill>
              <w14:schemeClr w14:val="tx1"/>
            </w14:solidFill>
          </w14:textFill>
        </w:rPr>
        <w:t>年</w:t>
      </w:r>
      <w:r>
        <w:rPr>
          <w:rStyle w:val="47"/>
          <w:rFonts w:hint="eastAsia" w:ascii="宋体" w:hAnsi="宋体" w:cs="宋体"/>
          <w:bCs/>
          <w:color w:val="000000" w:themeColor="text1"/>
          <w:sz w:val="24"/>
          <w:szCs w:val="24"/>
          <w:u w:val="single" w:color="000000"/>
          <w:lang w:val="en-US" w:eastAsia="zh-CN"/>
          <w14:textFill>
            <w14:solidFill>
              <w14:schemeClr w14:val="tx1"/>
            </w14:solidFill>
          </w14:textFill>
        </w:rPr>
        <w:t>11</w:t>
      </w:r>
      <w:r>
        <w:rPr>
          <w:rStyle w:val="47"/>
          <w:rFonts w:hint="eastAsia" w:ascii="宋体" w:hAnsi="宋体" w:cs="宋体"/>
          <w:bCs/>
          <w:color w:val="000000" w:themeColor="text1"/>
          <w:sz w:val="24"/>
          <w:szCs w:val="24"/>
          <w:u w:val="single" w:color="000000"/>
          <w14:textFill>
            <w14:solidFill>
              <w14:schemeClr w14:val="tx1"/>
            </w14:solidFill>
          </w14:textFill>
        </w:rPr>
        <w:t>月</w:t>
      </w:r>
      <w:r>
        <w:rPr>
          <w:rStyle w:val="47"/>
          <w:rFonts w:hint="eastAsia" w:ascii="宋体" w:hAnsi="宋体" w:cs="宋体"/>
          <w:bCs/>
          <w:color w:val="000000" w:themeColor="text1"/>
          <w:sz w:val="24"/>
          <w:szCs w:val="24"/>
          <w:u w:val="single" w:color="000000"/>
          <w:lang w:val="en-US" w:eastAsia="zh-CN"/>
          <w14:textFill>
            <w14:solidFill>
              <w14:schemeClr w14:val="tx1"/>
            </w14:solidFill>
          </w14:textFill>
        </w:rPr>
        <w:t>9</w:t>
      </w:r>
      <w:r>
        <w:rPr>
          <w:rStyle w:val="47"/>
          <w:rFonts w:hint="eastAsia" w:ascii="宋体" w:hAnsi="宋体" w:cs="宋体"/>
          <w:bCs/>
          <w:color w:val="000000" w:themeColor="text1"/>
          <w:sz w:val="24"/>
          <w:szCs w:val="24"/>
          <w:u w:val="single" w:color="000000"/>
          <w14:textFill>
            <w14:solidFill>
              <w14:schemeClr w14:val="tx1"/>
            </w14:solidFill>
          </w14:textFill>
        </w:rPr>
        <w:t xml:space="preserve"> </w:t>
      </w:r>
      <w:r>
        <w:rPr>
          <w:rStyle w:val="47"/>
          <w:rFonts w:ascii="宋体" w:hAnsi="宋体" w:cs="宋体"/>
          <w:bCs/>
          <w:color w:val="000000" w:themeColor="text1"/>
          <w:sz w:val="24"/>
          <w:szCs w:val="24"/>
          <w:u w:val="single" w:color="000000"/>
          <w14:textFill>
            <w14:solidFill>
              <w14:schemeClr w14:val="tx1"/>
            </w14:solidFill>
          </w14:textFill>
        </w:rPr>
        <w:t xml:space="preserve">  </w:t>
      </w:r>
      <w:r>
        <w:rPr>
          <w:rStyle w:val="47"/>
          <w:rFonts w:hint="eastAsia" w:ascii="宋体" w:hAnsi="宋体" w:cs="宋体"/>
          <w:bCs/>
          <w:color w:val="000000" w:themeColor="text1"/>
          <w:sz w:val="24"/>
          <w:szCs w:val="24"/>
          <w:u w:val="single" w:color="000000"/>
          <w14:textFill>
            <w14:solidFill>
              <w14:schemeClr w14:val="tx1"/>
            </w14:solidFill>
          </w14:textFill>
        </w:rPr>
        <w:t>日</w:t>
      </w:r>
      <w:r>
        <w:rPr>
          <w:rStyle w:val="47"/>
          <w:rFonts w:hint="eastAsia" w:ascii="宋体" w:hAnsi="宋体" w:cs="宋体"/>
          <w:bCs/>
          <w:color w:val="000000" w:themeColor="text1"/>
          <w:sz w:val="24"/>
          <w:szCs w:val="24"/>
          <w:u w:val="single" w:color="000000"/>
          <w:lang w:val="en-US" w:eastAsia="zh-CN"/>
          <w14:textFill>
            <w14:solidFill>
              <w14:schemeClr w14:val="tx1"/>
            </w14:solidFill>
          </w14:textFill>
        </w:rPr>
        <w:t>9</w:t>
      </w:r>
      <w:r>
        <w:rPr>
          <w:rStyle w:val="47"/>
          <w:rFonts w:hint="eastAsia" w:ascii="宋体" w:hAnsi="宋体" w:cs="宋体"/>
          <w:bCs/>
          <w:color w:val="000000" w:themeColor="text1"/>
          <w:sz w:val="24"/>
          <w:szCs w:val="24"/>
          <w:u w:val="single" w:color="000000"/>
          <w14:textFill>
            <w14:solidFill>
              <w14:schemeClr w14:val="tx1"/>
            </w14:solidFill>
          </w14:textFill>
        </w:rPr>
        <w:t>点</w:t>
      </w:r>
      <w:r>
        <w:rPr>
          <w:rStyle w:val="47"/>
          <w:rFonts w:hint="eastAsia" w:ascii="宋体" w:hAnsi="宋体" w:cs="宋体"/>
          <w:bCs/>
          <w:color w:val="000000" w:themeColor="text1"/>
          <w:sz w:val="24"/>
          <w:szCs w:val="24"/>
          <w:u w:val="single" w:color="000000"/>
          <w:lang w:val="en-US" w:eastAsia="zh-CN"/>
          <w14:textFill>
            <w14:solidFill>
              <w14:schemeClr w14:val="tx1"/>
            </w14:solidFill>
          </w14:textFill>
        </w:rPr>
        <w:t>00</w:t>
      </w:r>
      <w:r>
        <w:rPr>
          <w:rStyle w:val="47"/>
          <w:rFonts w:hint="eastAsia" w:ascii="宋体" w:hAnsi="宋体" w:cs="宋体"/>
          <w:bCs/>
          <w:color w:val="000000" w:themeColor="text1"/>
          <w:sz w:val="24"/>
          <w:szCs w:val="24"/>
          <w:u w:val="single" w:color="000000"/>
          <w14:textFill>
            <w14:solidFill>
              <w14:schemeClr w14:val="tx1"/>
            </w14:solidFill>
          </w14:textFill>
        </w:rPr>
        <w:t>分（</w:t>
      </w:r>
      <w:r>
        <w:rPr>
          <w:rStyle w:val="47"/>
          <w:rFonts w:hint="eastAsia" w:ascii="宋体" w:hAnsi="宋体" w:cs="宋体"/>
          <w:bCs/>
          <w:color w:val="000000" w:themeColor="text1"/>
          <w:sz w:val="24"/>
          <w:szCs w:val="24"/>
          <w14:textFill>
            <w14:solidFill>
              <w14:schemeClr w14:val="tx1"/>
            </w14:solidFill>
          </w14:textFill>
        </w:rPr>
        <w:t>北京时间）前递交投标文件</w:t>
      </w:r>
      <w:r>
        <w:rPr>
          <w:rStyle w:val="47"/>
          <w:rFonts w:hint="eastAsia" w:ascii="宋体" w:hAnsi="宋体" w:cs="宋体"/>
          <w:color w:val="000000" w:themeColor="text1"/>
          <w:sz w:val="24"/>
          <w:szCs w:val="24"/>
          <w14:textFill>
            <w14:solidFill>
              <w14:schemeClr w14:val="tx1"/>
            </w14:solidFill>
          </w14:textFill>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一、项目基本情况</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项目编号：</w:t>
      </w:r>
      <w:r>
        <w:rPr>
          <w:rStyle w:val="47"/>
          <w:rFonts w:hint="eastAsia" w:ascii="宋体" w:hAnsi="宋体" w:cs="宋体"/>
          <w:color w:val="000000" w:themeColor="text1"/>
          <w:sz w:val="24"/>
          <w:szCs w:val="24"/>
          <w:u w:val="single"/>
          <w14:textFill>
            <w14:solidFill>
              <w14:schemeClr w14:val="tx1"/>
            </w14:solidFill>
          </w14:textFill>
        </w:rPr>
        <w:t>2023-010W</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项目名称：</w:t>
      </w:r>
      <w:r>
        <w:rPr>
          <w:rStyle w:val="47"/>
          <w:rFonts w:hint="eastAsia" w:ascii="宋体" w:hAnsi="宋体" w:cs="宋体"/>
          <w:color w:val="000000" w:themeColor="text1"/>
          <w:sz w:val="24"/>
          <w:szCs w:val="24"/>
          <w:u w:val="single"/>
          <w14:textFill>
            <w14:solidFill>
              <w14:schemeClr w14:val="tx1"/>
            </w14:solidFill>
          </w14:textFill>
        </w:rPr>
        <w:t>盐城工业职业技术学院纺纱智能制造中心</w:t>
      </w:r>
    </w:p>
    <w:p>
      <w:pPr>
        <w:pStyle w:val="146"/>
        <w:widowControl w:val="0"/>
        <w:tabs>
          <w:tab w:val="left" w:pos="0"/>
        </w:tabs>
        <w:adjustRightInd w:val="0"/>
        <w:snapToGrid w:val="0"/>
        <w:spacing w:line="360" w:lineRule="auto"/>
        <w:ind w:left="0" w:firstLine="480" w:firstLineChars="200"/>
        <w:rPr>
          <w:rStyle w:val="47"/>
          <w:rFonts w:ascii="宋体" w:hAnsi="宋体" w:cs="宋体"/>
          <w:color w:val="000000" w:themeColor="text1"/>
          <w:szCs w:val="24"/>
          <w:u w:val="single"/>
          <w:lang w:eastAsia="zh-CN"/>
          <w14:textFill>
            <w14:solidFill>
              <w14:schemeClr w14:val="tx1"/>
            </w14:solidFill>
          </w14:textFill>
        </w:rPr>
      </w:pPr>
      <w:r>
        <w:rPr>
          <w:rStyle w:val="47"/>
          <w:rFonts w:hint="eastAsia" w:ascii="宋体" w:hAnsi="宋体" w:cs="宋体"/>
          <w:color w:val="000000" w:themeColor="text1"/>
          <w:szCs w:val="24"/>
          <w:lang w:eastAsia="zh-CN"/>
          <w14:textFill>
            <w14:solidFill>
              <w14:schemeClr w14:val="tx1"/>
            </w14:solidFill>
          </w14:textFill>
        </w:rPr>
        <w:t>最高限价：</w:t>
      </w:r>
      <w:r>
        <w:rPr>
          <w:rStyle w:val="47"/>
          <w:rFonts w:hint="eastAsia" w:ascii="宋体" w:hAnsi="宋体" w:cs="宋体"/>
          <w:color w:val="000000" w:themeColor="text1"/>
          <w:szCs w:val="24"/>
          <w:u w:val="single"/>
          <w:lang w:eastAsia="zh-CN"/>
          <w14:textFill>
            <w14:solidFill>
              <w14:schemeClr w14:val="tx1"/>
            </w14:solidFill>
          </w14:textFill>
        </w:rPr>
        <w:t>50万元。</w:t>
      </w:r>
    </w:p>
    <w:p>
      <w:pPr>
        <w:adjustRightInd w:val="0"/>
        <w:snapToGrid w:val="0"/>
        <w:spacing w:line="336"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采购需求：</w:t>
      </w:r>
      <w:r>
        <w:rPr>
          <w:rStyle w:val="47"/>
          <w:rFonts w:hint="eastAsia" w:ascii="宋体" w:hAnsi="宋体" w:cs="宋体"/>
          <w:color w:val="000000" w:themeColor="text1"/>
          <w:sz w:val="24"/>
          <w:szCs w:val="24"/>
          <w:u w:val="single"/>
          <w14:textFill>
            <w14:solidFill>
              <w14:schemeClr w14:val="tx1"/>
            </w14:solidFill>
          </w14:textFill>
        </w:rPr>
        <w:t>盐城工业职业技术学院纺纱智能制造中心的</w:t>
      </w:r>
      <w:r>
        <w:rPr>
          <w:rStyle w:val="47"/>
          <w:rFonts w:hint="eastAsia" w:ascii="宋体" w:hAnsi="宋体" w:cs="宋体"/>
          <w:color w:val="000000" w:themeColor="text1"/>
          <w:sz w:val="24"/>
          <w:szCs w:val="24"/>
          <w:u w:val="single"/>
          <w14:textFill>
            <w14:solidFill>
              <w14:schemeClr w14:val="tx1"/>
            </w14:solidFill>
          </w14:textFill>
        </w:rPr>
        <w:t>采购、供应、运输、安装及就位、调试、维保、售前、售后等相关伴随服务，具体产品名称、数量、规格及技术参数等以招标文件为准，采购人保留对上述采购规模进行调整的权利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color w:val="000000" w:themeColor="text1"/>
          <w:sz w:val="24"/>
          <w:szCs w:val="24"/>
          <w:u w:val="single"/>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合同履行期限：</w:t>
      </w:r>
      <w:r>
        <w:rPr>
          <w:rStyle w:val="47"/>
          <w:rFonts w:hint="eastAsia" w:ascii="宋体" w:hAnsi="宋体" w:cs="宋体"/>
          <w:color w:val="000000" w:themeColor="text1"/>
          <w:sz w:val="24"/>
          <w:szCs w:val="24"/>
          <w:u w:val="single"/>
          <w14:textFill>
            <w14:solidFill>
              <w14:schemeClr w14:val="tx1"/>
            </w14:solidFill>
          </w14:textFill>
        </w:rPr>
        <w:t>在签订合同后</w:t>
      </w:r>
      <w:r>
        <w:rPr>
          <w:rStyle w:val="47"/>
          <w:rFonts w:ascii="宋体" w:hAnsi="宋体" w:cs="宋体"/>
          <w:color w:val="000000" w:themeColor="text1"/>
          <w:sz w:val="24"/>
          <w:szCs w:val="24"/>
          <w:u w:val="single"/>
          <w14:textFill>
            <w14:solidFill>
              <w14:schemeClr w14:val="tx1"/>
            </w14:solidFill>
          </w14:textFill>
        </w:rPr>
        <w:t>30</w:t>
      </w:r>
      <w:r>
        <w:rPr>
          <w:rStyle w:val="47"/>
          <w:rFonts w:hint="eastAsia" w:ascii="宋体" w:hAnsi="宋体" w:cs="宋体"/>
          <w:color w:val="000000" w:themeColor="text1"/>
          <w:sz w:val="24"/>
          <w:szCs w:val="24"/>
          <w:u w:val="single"/>
          <w14:textFill>
            <w14:solidFill>
              <w14:schemeClr w14:val="tx1"/>
            </w14:solidFill>
          </w14:textFill>
        </w:rPr>
        <w:t>个日历天内完成全部内容的服务工作。</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本项目</w:t>
      </w:r>
      <w:r>
        <w:rPr>
          <w:rStyle w:val="47"/>
          <w:rFonts w:hint="eastAsia" w:ascii="宋体" w:hAnsi="宋体" w:cs="宋体"/>
          <w:b/>
          <w:bCs/>
          <w:color w:val="000000" w:themeColor="text1"/>
          <w:sz w:val="24"/>
          <w:szCs w:val="24"/>
          <w:u w:val="single"/>
          <w14:textFill>
            <w14:solidFill>
              <w14:schemeClr w14:val="tx1"/>
            </w14:solidFill>
          </w14:textFill>
        </w:rPr>
        <w:t>不接受</w:t>
      </w:r>
      <w:r>
        <w:rPr>
          <w:rStyle w:val="47"/>
          <w:rFonts w:hint="eastAsia" w:ascii="宋体" w:hAnsi="宋体" w:cs="宋体"/>
          <w:color w:val="000000" w:themeColor="text1"/>
          <w:sz w:val="24"/>
          <w:szCs w:val="24"/>
          <w14:textFill>
            <w14:solidFill>
              <w14:schemeClr w14:val="tx1"/>
            </w14:solidFill>
          </w14:textFill>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二、投标人的资格要求：</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（3）依法缴纳税收和社会保障资金的相关材料，</w:t>
      </w:r>
      <w:r>
        <w:rPr>
          <w:rStyle w:val="47"/>
          <w:rFonts w:hint="eastAsia" w:ascii="宋体" w:hAnsi="宋体"/>
          <w:color w:val="000000" w:themeColor="text1"/>
          <w:sz w:val="24"/>
          <w:szCs w:val="24"/>
          <w14:textFill>
            <w14:solidFill>
              <w14:schemeClr w14:val="tx1"/>
            </w14:solidFill>
          </w14:textFill>
        </w:rPr>
        <w:t>依法免税或不需要缴纳社会保障资金的，应提供相应文件证明材料</w:t>
      </w:r>
      <w:r>
        <w:rPr>
          <w:rStyle w:val="47"/>
          <w:rFonts w:hint="eastAsia" w:ascii="宋体" w:hAnsi="宋体" w:cs="宋体"/>
          <w:color w:val="000000" w:themeColor="text1"/>
          <w:sz w:val="24"/>
          <w:szCs w:val="24"/>
          <w14:textFill>
            <w14:solidFill>
              <w14:schemeClr w14:val="tx1"/>
            </w14:solidFill>
          </w14:textFill>
        </w:rPr>
        <w:t>；</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（4）具备履行合同所必需的设备和专业技术能力的书面声明；</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（5）参加政府采购活动前3年内在经营活动中没有重大违法记录的书面声明；</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2.落实政府采购政策需满足的资格要求：/。</w:t>
      </w:r>
    </w:p>
    <w:p>
      <w:pPr>
        <w:widowControl w:val="0"/>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3.本项目的特定资格要求：</w:t>
      </w:r>
    </w:p>
    <w:p>
      <w:pPr>
        <w:spacing w:line="460" w:lineRule="exact"/>
        <w:ind w:firstLine="480" w:firstLineChars="200"/>
        <w:rPr>
          <w:rStyle w:val="47"/>
          <w:rFonts w:ascii="宋体" w:hAnsi="宋体"/>
          <w:color w:val="000000" w:themeColor="text1"/>
          <w:sz w:val="24"/>
          <w:szCs w:val="24"/>
          <w14:textFill>
            <w14:solidFill>
              <w14:schemeClr w14:val="tx1"/>
            </w14:solidFill>
          </w14:textFill>
        </w:rPr>
      </w:pPr>
      <w:r>
        <w:rPr>
          <w:rStyle w:val="47"/>
          <w:rFonts w:ascii="宋体" w:hAnsi="宋体"/>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spacing w:line="460" w:lineRule="exact"/>
        <w:ind w:firstLine="480" w:firstLineChars="200"/>
        <w:rPr>
          <w:rStyle w:val="47"/>
          <w:rFonts w:ascii="宋体" w:hAnsi="宋体"/>
          <w:color w:val="000000" w:themeColor="text1"/>
          <w:sz w:val="24"/>
          <w:szCs w:val="24"/>
          <w14:textFill>
            <w14:solidFill>
              <w14:schemeClr w14:val="tx1"/>
            </w14:solidFill>
          </w14:textFill>
        </w:rPr>
      </w:pPr>
      <w:r>
        <w:rPr>
          <w:rStyle w:val="47"/>
          <w:rFonts w:ascii="宋体" w:hAnsi="宋体"/>
          <w:color w:val="000000" w:themeColor="text1"/>
          <w:sz w:val="24"/>
          <w:szCs w:val="24"/>
          <w14:textFill>
            <w14:solidFill>
              <w14:schemeClr w14:val="tx1"/>
            </w14:solidFill>
          </w14:textFill>
        </w:rPr>
        <w:t>（</w:t>
      </w:r>
      <w:r>
        <w:rPr>
          <w:rStyle w:val="47"/>
          <w:rFonts w:hint="eastAsia" w:ascii="宋体" w:hAnsi="宋体"/>
          <w:color w:val="000000" w:themeColor="text1"/>
          <w:sz w:val="24"/>
          <w:szCs w:val="24"/>
          <w14:textFill>
            <w14:solidFill>
              <w14:schemeClr w14:val="tx1"/>
            </w14:solidFill>
          </w14:textFill>
        </w:rPr>
        <w:t>2</w:t>
      </w:r>
      <w:r>
        <w:rPr>
          <w:rStyle w:val="47"/>
          <w:rFonts w:ascii="宋体" w:hAnsi="宋体"/>
          <w:color w:val="000000" w:themeColor="text1"/>
          <w:sz w:val="24"/>
          <w:szCs w:val="24"/>
          <w14:textFill>
            <w14:solidFill>
              <w14:schemeClr w14:val="tx1"/>
            </w14:solidFill>
          </w14:textFill>
        </w:rPr>
        <w:t>）单位负责人为同一人或者存在直接控股、管理关系的不同供应商，不得参加同一合同项下的政府采购活动。</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三、获取招标文件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时间：自公告之日起至投标截止时间前1日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地点：盐城工业职业技术学院招标采购网</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方式：符合资格要求的投标人可自行下载采购文件，采购文件见盐城市政府采购网或盐城工业职业技术学院招标采购网本公告附件。</w:t>
      </w:r>
    </w:p>
    <w:p>
      <w:pPr>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报名时间及地点：本公告发布后凡具备上述资格条件，并自愿参加本项目投标的投标人应于2023年</w:t>
      </w:r>
      <w:r>
        <w:rPr>
          <w:rFonts w:hint="eastAsia" w:ascii="宋体" w:hAnsi="宋体" w:cs="宋体"/>
          <w:bCs/>
          <w:color w:val="000000" w:themeColor="text1"/>
          <w:sz w:val="24"/>
          <w:szCs w:val="24"/>
          <w:lang w:val="en-US" w:eastAsia="zh-CN"/>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19</w:t>
      </w:r>
      <w:r>
        <w:rPr>
          <w:rFonts w:hint="eastAsia" w:ascii="宋体" w:hAnsi="宋体" w:cs="宋体"/>
          <w:bCs/>
          <w:color w:val="000000" w:themeColor="text1"/>
          <w:sz w:val="24"/>
          <w:szCs w:val="24"/>
          <w14:textFill>
            <w14:solidFill>
              <w14:schemeClr w14:val="tx1"/>
            </w14:solidFill>
          </w14:textFill>
        </w:rPr>
        <w:t>日至2023年</w:t>
      </w:r>
      <w:r>
        <w:rPr>
          <w:rFonts w:hint="eastAsia" w:ascii="宋体" w:hAnsi="宋体" w:cs="宋体"/>
          <w:bCs/>
          <w:color w:val="000000" w:themeColor="text1"/>
          <w:sz w:val="24"/>
          <w:szCs w:val="24"/>
          <w:lang w:val="en-US" w:eastAsia="zh-CN"/>
          <w14:textFill>
            <w14:solidFill>
              <w14:schemeClr w14:val="tx1"/>
            </w14:solidFill>
          </w14:textFill>
        </w:rPr>
        <w:t>10</w:t>
      </w:r>
      <w:r>
        <w:rPr>
          <w:rFonts w:hint="eastAsia" w:ascii="宋体" w:hAnsi="宋体" w:cs="宋体"/>
          <w:bCs/>
          <w:color w:val="000000" w:themeColor="text1"/>
          <w:sz w:val="24"/>
          <w:szCs w:val="24"/>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31</w:t>
      </w:r>
      <w:r>
        <w:rPr>
          <w:rFonts w:hint="eastAsia" w:ascii="宋体" w:hAnsi="宋体" w:cs="宋体"/>
          <w:bCs/>
          <w:color w:val="000000" w:themeColor="text1"/>
          <w:sz w:val="24"/>
          <w:szCs w:val="24"/>
          <w14:textFill>
            <w14:solidFill>
              <w14:schemeClr w14:val="tx1"/>
            </w14:solidFill>
          </w14:textFill>
        </w:rPr>
        <w:t>日委派本单位正式人员携带单位介绍信或授权委托书扫描件至我单位或添加微信（微信号:13305104722）购买招标文件，逾期的不予接收。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售价：人民币500元，售后不退。</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四、提交投标文件截止时间、开标时间和地点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时间：2023</w:t>
      </w:r>
      <w:r>
        <w:rPr>
          <w:rStyle w:val="47"/>
          <w:rFonts w:hint="eastAsia" w:ascii="宋体" w:hAnsi="宋体" w:cs="宋体"/>
          <w:bCs/>
          <w:color w:val="000000" w:themeColor="text1"/>
          <w:sz w:val="24"/>
          <w:szCs w:val="24"/>
          <w14:textFill>
            <w14:solidFill>
              <w14:schemeClr w14:val="tx1"/>
            </w14:solidFill>
          </w14:textFill>
        </w:rPr>
        <w:t>年</w:t>
      </w:r>
      <w:r>
        <w:rPr>
          <w:rStyle w:val="47"/>
          <w:rFonts w:hint="eastAsia" w:ascii="宋体" w:hAnsi="宋体" w:cs="宋体"/>
          <w:bCs/>
          <w:color w:val="000000" w:themeColor="text1"/>
          <w:sz w:val="24"/>
          <w:szCs w:val="24"/>
          <w:lang w:val="en-US" w:eastAsia="zh-CN"/>
          <w14:textFill>
            <w14:solidFill>
              <w14:schemeClr w14:val="tx1"/>
            </w14:solidFill>
          </w14:textFill>
        </w:rPr>
        <w:t>11</w:t>
      </w:r>
      <w:r>
        <w:rPr>
          <w:rStyle w:val="47"/>
          <w:rFonts w:hint="eastAsia" w:ascii="宋体" w:hAnsi="宋体" w:cs="宋体"/>
          <w:bCs/>
          <w:color w:val="000000" w:themeColor="text1"/>
          <w:sz w:val="24"/>
          <w:szCs w:val="24"/>
          <w14:textFill>
            <w14:solidFill>
              <w14:schemeClr w14:val="tx1"/>
            </w14:solidFill>
          </w14:textFill>
        </w:rPr>
        <w:t>月</w:t>
      </w:r>
      <w:r>
        <w:rPr>
          <w:rStyle w:val="47"/>
          <w:rFonts w:hint="eastAsia" w:ascii="宋体" w:hAnsi="宋体" w:cs="宋体"/>
          <w:bCs/>
          <w:color w:val="000000" w:themeColor="text1"/>
          <w:sz w:val="24"/>
          <w:szCs w:val="24"/>
          <w:lang w:val="en-US" w:eastAsia="zh-CN"/>
          <w14:textFill>
            <w14:solidFill>
              <w14:schemeClr w14:val="tx1"/>
            </w14:solidFill>
          </w14:textFill>
        </w:rPr>
        <w:t>9</w:t>
      </w:r>
      <w:r>
        <w:rPr>
          <w:rStyle w:val="47"/>
          <w:rFonts w:hint="eastAsia" w:ascii="宋体" w:hAnsi="宋体" w:cs="宋体"/>
          <w:bCs/>
          <w:color w:val="000000" w:themeColor="text1"/>
          <w:sz w:val="24"/>
          <w:szCs w:val="24"/>
          <w14:textFill>
            <w14:solidFill>
              <w14:schemeClr w14:val="tx1"/>
            </w14:solidFill>
          </w14:textFill>
        </w:rPr>
        <w:t>日</w:t>
      </w:r>
      <w:r>
        <w:rPr>
          <w:rStyle w:val="47"/>
          <w:rFonts w:hint="eastAsia" w:ascii="宋体" w:hAnsi="宋体" w:cs="宋体"/>
          <w:bCs/>
          <w:color w:val="000000" w:themeColor="text1"/>
          <w:sz w:val="24"/>
          <w:szCs w:val="24"/>
          <w:lang w:val="en-US" w:eastAsia="zh-CN"/>
          <w14:textFill>
            <w14:solidFill>
              <w14:schemeClr w14:val="tx1"/>
            </w14:solidFill>
          </w14:textFill>
        </w:rPr>
        <w:t>9</w:t>
      </w:r>
      <w:r>
        <w:rPr>
          <w:rStyle w:val="47"/>
          <w:rFonts w:hint="eastAsia" w:ascii="宋体" w:hAnsi="宋体" w:cs="宋体"/>
          <w:bCs/>
          <w:color w:val="000000" w:themeColor="text1"/>
          <w:sz w:val="24"/>
          <w:szCs w:val="24"/>
          <w14:textFill>
            <w14:solidFill>
              <w14:schemeClr w14:val="tx1"/>
            </w14:solidFill>
          </w14:textFill>
        </w:rPr>
        <w:t>点</w:t>
      </w:r>
      <w:r>
        <w:rPr>
          <w:rStyle w:val="47"/>
          <w:rFonts w:hint="eastAsia" w:ascii="宋体" w:hAnsi="宋体" w:cs="宋体"/>
          <w:bCs/>
          <w:color w:val="000000" w:themeColor="text1"/>
          <w:sz w:val="24"/>
          <w:szCs w:val="24"/>
          <w:lang w:val="en-US" w:eastAsia="zh-CN"/>
          <w14:textFill>
            <w14:solidFill>
              <w14:schemeClr w14:val="tx1"/>
            </w14:solidFill>
          </w14:textFill>
        </w:rPr>
        <w:t>00</w:t>
      </w:r>
      <w:r>
        <w:rPr>
          <w:rStyle w:val="47"/>
          <w:rFonts w:hint="eastAsia" w:ascii="宋体" w:hAnsi="宋体" w:cs="宋体"/>
          <w:bCs/>
          <w:color w:val="000000" w:themeColor="text1"/>
          <w:sz w:val="24"/>
          <w:szCs w:val="24"/>
          <w14:textFill>
            <w14:solidFill>
              <w14:schemeClr w14:val="tx1"/>
            </w14:solidFill>
          </w14:textFill>
        </w:rPr>
        <w:t>分</w:t>
      </w:r>
      <w:r>
        <w:rPr>
          <w:rStyle w:val="47"/>
          <w:rFonts w:hint="eastAsia" w:ascii="宋体" w:hAnsi="宋体" w:cs="宋体"/>
          <w:color w:val="000000" w:themeColor="text1"/>
          <w:sz w:val="24"/>
          <w:szCs w:val="24"/>
          <w14:textFill>
            <w14:solidFill>
              <w14:schemeClr w14:val="tx1"/>
            </w14:solidFill>
          </w14:textFill>
        </w:rPr>
        <w:t>（北京时间）</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地点：</w:t>
      </w:r>
      <w:r>
        <w:rPr>
          <w:rStyle w:val="47"/>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47"/>
          <w:rFonts w:hint="eastAsia" w:ascii="宋体" w:hAnsi="宋体" w:cs="宋体"/>
          <w:color w:val="000000" w:themeColor="text1"/>
          <w:sz w:val="24"/>
          <w:szCs w:val="24"/>
          <w14:textFill>
            <w14:solidFill>
              <w14:schemeClr w14:val="tx1"/>
            </w14:solidFill>
          </w14:textFill>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五、公告期限</w:t>
      </w:r>
    </w:p>
    <w:p>
      <w:pPr>
        <w:snapToGrid w:val="0"/>
        <w:spacing w:line="360" w:lineRule="auto"/>
        <w:ind w:firstLine="480" w:firstLineChars="200"/>
        <w:rPr>
          <w:rStyle w:val="47"/>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color w:val="000000" w:themeColor="text1"/>
          <w:kern w:val="0"/>
          <w:sz w:val="24"/>
          <w:szCs w:val="24"/>
          <w14:textFill>
            <w14:solidFill>
              <w14:schemeClr w14:val="tx1"/>
            </w14:solidFill>
          </w14:textFill>
        </w:rPr>
        <w:t>自本公告发布之日起5个工作日。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六、其他补充事宜</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七、本项目投标保证金</w:t>
      </w:r>
    </w:p>
    <w:p>
      <w:pPr>
        <w:pStyle w:val="37"/>
        <w:tabs>
          <w:tab w:val="left" w:pos="0"/>
          <w:tab w:val="left" w:pos="3165"/>
          <w:tab w:val="center" w:pos="4153"/>
        </w:tabs>
        <w:snapToGrid w:val="0"/>
        <w:spacing w:line="360" w:lineRule="auto"/>
        <w:ind w:firstLine="480" w:firstLineChars="200"/>
        <w:jc w:val="left"/>
        <w:rPr>
          <w:rStyle w:val="47"/>
          <w:rFonts w:ascii="宋体" w:hAnsi="宋体" w:eastAsia="宋体" w:cs="宋体"/>
          <w:color w:val="000000" w:themeColor="text1"/>
          <w:sz w:val="24"/>
          <w:szCs w:val="24"/>
          <w14:textFill>
            <w14:solidFill>
              <w14:schemeClr w14:val="tx1"/>
            </w14:solidFill>
          </w14:textFill>
        </w:rPr>
      </w:pPr>
      <w:r>
        <w:rPr>
          <w:rStyle w:val="47"/>
          <w:rFonts w:hint="eastAsia" w:ascii="宋体" w:hAnsi="宋体" w:eastAsia="宋体" w:cs="宋体"/>
          <w:color w:val="000000" w:themeColor="text1"/>
          <w:sz w:val="24"/>
          <w:szCs w:val="24"/>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color w:val="000000" w:themeColor="text1"/>
          <w:sz w:val="24"/>
          <w:szCs w:val="24"/>
          <w14:textFill>
            <w14:solidFill>
              <w14:schemeClr w14:val="tx1"/>
            </w14:solidFill>
          </w14:textFill>
        </w:rPr>
      </w:pPr>
      <w:r>
        <w:rPr>
          <w:rStyle w:val="47"/>
          <w:rFonts w:hint="eastAsia" w:ascii="宋体" w:hAnsi="宋体" w:eastAsia="宋体" w:cs="宋体"/>
          <w:b/>
          <w:bCs/>
          <w:color w:val="000000" w:themeColor="text1"/>
          <w:sz w:val="24"/>
          <w:szCs w:val="24"/>
          <w14:textFill>
            <w14:solidFill>
              <w14:schemeClr w14:val="tx1"/>
            </w14:solidFill>
          </w14:textFill>
        </w:rPr>
        <w:t>八、对本次招标提出询问，请按以下方式联系。</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1.采购人信息</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名称：盐城工业职业技术学院</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地址：盐城市解放南路285号</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 xml:space="preserve">联系人：赵老师             </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联系电话：0515-88588707</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2.采购代理机构信息</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名称：江苏伟业项目管理有限公司</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地址：盐城市华邦国际东厦16楼</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 xml:space="preserve">联系人：陈先生              </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联系电话：</w:t>
      </w:r>
      <w:r>
        <w:rPr>
          <w:rFonts w:hint="eastAsia" w:ascii="宋体" w:hAnsi="宋体" w:cs="宋体"/>
          <w:bCs/>
          <w:color w:val="000000" w:themeColor="text1"/>
          <w:sz w:val="24"/>
          <w14:textFill>
            <w14:solidFill>
              <w14:schemeClr w14:val="tx1"/>
            </w14:solidFill>
          </w14:textFill>
        </w:rPr>
        <w:t>13305104722</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3.项目联系方式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项目联系人：武老师</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联系电话：15995185547</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10"/>
        <w:ind w:left="1470" w:right="1470"/>
        <w:rPr>
          <w:rStyle w:val="47"/>
          <w:rFonts w:ascii="宋体" w:hAnsi="宋体" w:cs="宋体"/>
          <w:color w:val="000000" w:themeColor="text1"/>
          <w:sz w:val="24"/>
          <w:szCs w:val="24"/>
          <w14:textFill>
            <w14:solidFill>
              <w14:schemeClr w14:val="tx1"/>
            </w14:solidFill>
          </w14:textFill>
        </w:rPr>
      </w:pPr>
    </w:p>
    <w:p>
      <w:pPr>
        <w:pStyle w:val="38"/>
        <w:spacing w:before="0" w:after="0" w:line="240" w:lineRule="auto"/>
        <w:jc w:val="both"/>
        <w:outlineLvl w:val="0"/>
        <w:rPr>
          <w:rStyle w:val="47"/>
          <w:rFonts w:ascii="宋体" w:hAnsi="宋体" w:eastAsia="宋体" w:cs="宋体"/>
          <w:color w:val="000000" w:themeColor="text1"/>
          <w14:textFill>
            <w14:solidFill>
              <w14:schemeClr w14:val="tx1"/>
            </w14:solidFill>
          </w14:textFill>
        </w:rPr>
      </w:pPr>
      <w:bookmarkStart w:id="1" w:name="_Toc21663"/>
    </w:p>
    <w:p>
      <w:pPr>
        <w:pStyle w:val="39"/>
        <w:rPr>
          <w:rStyle w:val="47"/>
          <w:rFonts w:ascii="宋体" w:hAnsi="宋体" w:cs="宋体"/>
          <w:color w:val="000000" w:themeColor="text1"/>
          <w14:textFill>
            <w14:solidFill>
              <w14:schemeClr w14:val="tx1"/>
            </w14:solidFill>
          </w14:textFill>
        </w:rPr>
      </w:pPr>
    </w:p>
    <w:p>
      <w:pPr>
        <w:pStyle w:val="39"/>
        <w:rPr>
          <w:rStyle w:val="47"/>
          <w:rFonts w:ascii="宋体" w:hAnsi="宋体" w:cs="宋体"/>
          <w:color w:val="000000" w:themeColor="text1"/>
          <w14:textFill>
            <w14:solidFill>
              <w14:schemeClr w14:val="tx1"/>
            </w14:solidFill>
          </w14:textFill>
        </w:rPr>
      </w:pPr>
    </w:p>
    <w:p>
      <w:pPr>
        <w:pStyle w:val="39"/>
        <w:rPr>
          <w:rStyle w:val="47"/>
          <w:rFonts w:ascii="宋体" w:hAnsi="宋体" w:cs="宋体"/>
          <w:color w:val="000000" w:themeColor="text1"/>
          <w14:textFill>
            <w14:solidFill>
              <w14:schemeClr w14:val="tx1"/>
            </w14:solidFill>
          </w14:textFill>
        </w:rPr>
      </w:pPr>
    </w:p>
    <w:p>
      <w:pPr>
        <w:pStyle w:val="39"/>
        <w:rPr>
          <w:rStyle w:val="47"/>
          <w:rFonts w:ascii="宋体" w:hAnsi="宋体" w:cs="宋体"/>
          <w:color w:val="000000" w:themeColor="text1"/>
          <w14:textFill>
            <w14:solidFill>
              <w14:schemeClr w14:val="tx1"/>
            </w14:solidFill>
          </w14:textFill>
        </w:rPr>
      </w:pPr>
    </w:p>
    <w:p>
      <w:pPr>
        <w:pStyle w:val="39"/>
        <w:rPr>
          <w:rStyle w:val="47"/>
          <w:rFonts w:ascii="宋体" w:hAnsi="宋体" w:cs="宋体"/>
          <w:color w:val="000000" w:themeColor="text1"/>
          <w14:textFill>
            <w14:solidFill>
              <w14:schemeClr w14:val="tx1"/>
            </w14:solidFill>
          </w14:textFill>
        </w:rPr>
      </w:pPr>
    </w:p>
    <w:p>
      <w:pPr>
        <w:pStyle w:val="38"/>
        <w:spacing w:before="0" w:after="0" w:line="240" w:lineRule="auto"/>
        <w:outlineLvl w:val="0"/>
        <w:rPr>
          <w:rStyle w:val="47"/>
          <w:rFonts w:ascii="宋体" w:hAnsi="宋体" w:eastAsia="宋体" w:cs="宋体"/>
          <w:b w:val="0"/>
          <w:bCs w:val="0"/>
          <w:color w:val="000000" w:themeColor="text1"/>
          <w14:textFill>
            <w14:solidFill>
              <w14:schemeClr w14:val="tx1"/>
            </w14:solidFill>
          </w14:textFill>
        </w:rPr>
      </w:pPr>
      <w:r>
        <w:rPr>
          <w:rStyle w:val="47"/>
          <w:rFonts w:hint="eastAsia" w:ascii="宋体" w:hAnsi="宋体" w:eastAsia="宋体" w:cs="宋体"/>
          <w:color w:val="000000" w:themeColor="text1"/>
          <w14:textFill>
            <w14:solidFill>
              <w14:schemeClr w14:val="tx1"/>
            </w14:solidFill>
          </w14:textFill>
        </w:rPr>
        <w:t>第二章  投标人须知</w:t>
      </w:r>
      <w:bookmarkEnd w:id="1"/>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一、总则</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1、招标方式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2、合格的投标人</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2.1满足招标公告中供应商的资格要求的规定。</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 满足本文件实质性条款的规定。</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3、适用法律</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4、投标费用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5、招标文件的约束力</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5.1</w:t>
      </w:r>
      <w:r>
        <w:rPr>
          <w:rStyle w:val="47"/>
          <w:rFonts w:hint="eastAsia" w:ascii="宋体" w:hAnsi="宋体" w:cs="宋体"/>
          <w:color w:val="000000" w:themeColor="text1"/>
          <w:sz w:val="24"/>
          <w:szCs w:val="24"/>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6、招标文件的解释</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6.1 本招标文件由采购人或采购代理机构负责解释。</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二、招标文件</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7、招标文件构成</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7.1</w:t>
      </w:r>
      <w:r>
        <w:rPr>
          <w:rStyle w:val="47"/>
          <w:rFonts w:hint="eastAsia" w:ascii="宋体" w:hAnsi="宋体" w:cs="宋体"/>
          <w:color w:val="000000" w:themeColor="text1"/>
          <w:sz w:val="24"/>
          <w:szCs w:val="24"/>
          <w14:textFill>
            <w14:solidFill>
              <w14:schemeClr w14:val="tx1"/>
            </w14:solidFill>
          </w14:textFill>
        </w:rPr>
        <w:t xml:space="preserve"> 招标文件有以下部分组成：</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（1）招标公告</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（2）投标人须知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（3）合同条款及格式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（4）项目需求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（5）评标方法与评标标准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（6）投标文件格式</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7.2</w:t>
      </w:r>
      <w:r>
        <w:rPr>
          <w:rStyle w:val="47"/>
          <w:rFonts w:hint="eastAsia" w:ascii="宋体" w:hAnsi="宋体" w:cs="宋体"/>
          <w:color w:val="000000" w:themeColor="text1"/>
          <w:sz w:val="24"/>
          <w:szCs w:val="24"/>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8、招标文件的询问</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8.1</w:t>
      </w:r>
      <w:r>
        <w:rPr>
          <w:rStyle w:val="47"/>
          <w:rFonts w:hint="eastAsia" w:ascii="宋体" w:hAnsi="宋体" w:cs="宋体"/>
          <w:color w:val="000000" w:themeColor="text1"/>
          <w:sz w:val="24"/>
          <w:szCs w:val="24"/>
          <w14:textFill>
            <w14:solidFill>
              <w14:schemeClr w14:val="tx1"/>
            </w14:solidFill>
          </w14:textFill>
        </w:rPr>
        <w:t xml:space="preserve"> 任何要求对招标文件进行询问的投标人，应在投标截止日期</w:t>
      </w:r>
      <w:r>
        <w:rPr>
          <w:rStyle w:val="47"/>
          <w:rFonts w:hint="eastAsia" w:ascii="宋体" w:hAnsi="宋体" w:cs="宋体"/>
          <w:b/>
          <w:color w:val="000000" w:themeColor="text1"/>
          <w:sz w:val="24"/>
          <w:szCs w:val="24"/>
          <w14:textFill>
            <w14:solidFill>
              <w14:schemeClr w14:val="tx1"/>
            </w14:solidFill>
          </w14:textFill>
        </w:rPr>
        <w:t>十日</w:t>
      </w:r>
      <w:r>
        <w:rPr>
          <w:rStyle w:val="47"/>
          <w:rFonts w:hint="eastAsia" w:ascii="宋体" w:hAnsi="宋体" w:cs="宋体"/>
          <w:color w:val="000000" w:themeColor="text1"/>
          <w:sz w:val="24"/>
          <w:szCs w:val="24"/>
          <w14:textFill>
            <w14:solidFill>
              <w14:schemeClr w14:val="tx1"/>
            </w14:solidFill>
          </w14:textFill>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9、招标文件的修改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9.1</w:t>
      </w:r>
      <w:r>
        <w:rPr>
          <w:rStyle w:val="47"/>
          <w:rFonts w:hint="eastAsia" w:ascii="宋体" w:hAnsi="宋体" w:cs="宋体"/>
          <w:color w:val="000000" w:themeColor="text1"/>
          <w:sz w:val="24"/>
          <w:szCs w:val="24"/>
          <w14:textFill>
            <w14:solidFill>
              <w14:schemeClr w14:val="tx1"/>
            </w14:solidFill>
          </w14:textFill>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9.2</w:t>
      </w:r>
      <w:r>
        <w:rPr>
          <w:rStyle w:val="47"/>
          <w:rFonts w:hint="eastAsia" w:ascii="宋体" w:hAnsi="宋体" w:cs="宋体"/>
          <w:color w:val="000000" w:themeColor="text1"/>
          <w:sz w:val="24"/>
          <w:szCs w:val="24"/>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9.3</w:t>
      </w:r>
      <w:r>
        <w:rPr>
          <w:rStyle w:val="47"/>
          <w:rFonts w:hint="eastAsia" w:ascii="宋体" w:hAnsi="宋体" w:cs="宋体"/>
          <w:color w:val="000000" w:themeColor="text1"/>
          <w:sz w:val="24"/>
          <w:szCs w:val="24"/>
          <w14:textFill>
            <w14:solidFill>
              <w14:schemeClr w14:val="tx1"/>
            </w14:solidFill>
          </w14:textFill>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三、投标文件的编制</w:t>
      </w:r>
    </w:p>
    <w:p>
      <w:pPr>
        <w:pStyle w:val="41"/>
        <w:snapToGrid w:val="0"/>
        <w:spacing w:before="0" w:after="0"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10、投标文件的语言及度量衡单位</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10.1</w:t>
      </w:r>
      <w:r>
        <w:rPr>
          <w:rStyle w:val="47"/>
          <w:rFonts w:hint="eastAsia" w:ascii="宋体" w:hAnsi="宋体" w:cs="宋体"/>
          <w:color w:val="000000" w:themeColor="text1"/>
          <w:sz w:val="24"/>
          <w:szCs w:val="24"/>
          <w14:textFill>
            <w14:solidFill>
              <w14:schemeClr w14:val="tx1"/>
            </w14:solidFill>
          </w14:textFill>
        </w:rPr>
        <w:t xml:space="preserve"> 投标人提交的投标文件以及投标人与采购人或采购代理机构就有关投标的所有来往通知、函件和文件均应使用</w:t>
      </w:r>
      <w:r>
        <w:rPr>
          <w:rStyle w:val="47"/>
          <w:rFonts w:hint="eastAsia" w:ascii="宋体" w:hAnsi="宋体" w:cs="宋体"/>
          <w:b/>
          <w:bCs/>
          <w:color w:val="000000" w:themeColor="text1"/>
          <w:sz w:val="24"/>
          <w:szCs w:val="24"/>
          <w14:textFill>
            <w14:solidFill>
              <w14:schemeClr w14:val="tx1"/>
            </w14:solidFill>
          </w14:textFill>
        </w:rPr>
        <w:t>简体中文</w:t>
      </w:r>
      <w:r>
        <w:rPr>
          <w:rStyle w:val="47"/>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10.2</w:t>
      </w:r>
      <w:r>
        <w:rPr>
          <w:rStyle w:val="47"/>
          <w:rFonts w:hint="eastAsia" w:ascii="宋体" w:hAnsi="宋体" w:cs="宋体"/>
          <w:color w:val="000000" w:themeColor="text1"/>
          <w:sz w:val="24"/>
          <w:szCs w:val="24"/>
          <w14:textFill>
            <w14:solidFill>
              <w14:schemeClr w14:val="tx1"/>
            </w14:solidFill>
          </w14:textFill>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12、证明投标人资格及符合招标文件规定的文件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12.1投标人应按要求提交资格证明文件及符合招标文件规定的文件。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12.2投标人应提交证明其有资格参加投标和中标后有能力独立履行合同的文件。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12.5证明投标人所提供货物及服务与招标文件的要求相一致的文件可以是手册、图纸、文字资料和数据</w:t>
      </w:r>
      <w:r>
        <w:rPr>
          <w:rStyle w:val="47"/>
          <w:rFonts w:hint="eastAsia" w:ascii="宋体" w:hAnsi="宋体" w:cs="宋体"/>
          <w:bCs/>
          <w:color w:val="000000" w:themeColor="text1"/>
          <w:sz w:val="24"/>
          <w:szCs w:val="24"/>
          <w14:textFill>
            <w14:solidFill>
              <w14:schemeClr w14:val="tx1"/>
            </w14:solidFill>
          </w14:textFill>
        </w:rPr>
        <w:t>。</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13.2</w:t>
      </w:r>
      <w:r>
        <w:rPr>
          <w:rStyle w:val="47"/>
          <w:rFonts w:hint="eastAsia" w:ascii="宋体" w:hAnsi="宋体" w:cs="宋体"/>
          <w:color w:val="000000" w:themeColor="text1"/>
          <w:sz w:val="24"/>
          <w:szCs w:val="24"/>
          <w14:textFill>
            <w14:solidFill>
              <w14:schemeClr w14:val="tx1"/>
            </w14:solidFill>
          </w14:textFill>
        </w:rPr>
        <w:t xml:space="preserve"> 标的物</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采购人需求的货物供应、安装，调试及有关技术服务等</w:t>
      </w:r>
      <w:r>
        <w:rPr>
          <w:rStyle w:val="47"/>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13.3有关费用处理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color w:val="000000" w:themeColor="text1"/>
          <w:sz w:val="24"/>
          <w:szCs w:val="24"/>
          <w14:textFill>
            <w14:solidFill>
              <w14:schemeClr w14:val="tx1"/>
            </w14:solidFill>
          </w14:textFill>
        </w:rPr>
        <w:t>包括</w:t>
      </w:r>
      <w:r>
        <w:rPr>
          <w:rStyle w:val="47"/>
          <w:rFonts w:ascii="宋体" w:hAnsi="宋体" w:cs="宋体"/>
          <w:bCs/>
          <w:color w:val="000000" w:themeColor="text1"/>
          <w:sz w:val="24"/>
          <w:szCs w:val="24"/>
          <w14:textFill>
            <w14:solidFill>
              <w14:schemeClr w14:val="tx1"/>
            </w14:solidFill>
          </w14:textFill>
        </w:rPr>
        <w:t>买方需求的货物价格</w:t>
      </w:r>
      <w:r>
        <w:rPr>
          <w:rStyle w:val="47"/>
          <w:rFonts w:ascii="宋体" w:hAnsi="宋体"/>
          <w:color w:val="000000" w:themeColor="text1"/>
          <w:sz w:val="24"/>
          <w:szCs w:val="24"/>
          <w14:textFill>
            <w14:solidFill>
              <w14:schemeClr w14:val="tx1"/>
            </w14:solidFill>
          </w14:textFill>
        </w:rPr>
        <w:t>、</w:t>
      </w:r>
      <w:r>
        <w:rPr>
          <w:rStyle w:val="47"/>
          <w:rFonts w:ascii="宋体" w:hAnsi="宋体" w:cs="宋体"/>
          <w:bCs/>
          <w:color w:val="000000" w:themeColor="text1"/>
          <w:sz w:val="24"/>
          <w:szCs w:val="24"/>
          <w14:textFill>
            <w14:solidFill>
              <w14:schemeClr w14:val="tx1"/>
            </w14:solidFill>
          </w14:textFill>
        </w:rPr>
        <w:t>质量保证费用、培训费用及售后服务费用，项目在指定地点、环境交付、验收所需费用和所有</w:t>
      </w:r>
      <w:r>
        <w:rPr>
          <w:rStyle w:val="47"/>
          <w:rFonts w:ascii="宋体" w:hAnsi="宋体"/>
          <w:color w:val="000000" w:themeColor="text1"/>
          <w:sz w:val="24"/>
          <w:szCs w:val="24"/>
          <w14:textFill>
            <w14:solidFill>
              <w14:schemeClr w14:val="tx1"/>
            </w14:solidFill>
          </w14:textFill>
        </w:rPr>
        <w:t>相关税金费用</w:t>
      </w:r>
      <w:r>
        <w:rPr>
          <w:rStyle w:val="47"/>
          <w:rFonts w:ascii="宋体" w:hAnsi="宋体" w:cs="宋体"/>
          <w:bCs/>
          <w:color w:val="000000" w:themeColor="text1"/>
          <w:sz w:val="24"/>
          <w:szCs w:val="24"/>
          <w14:textFill>
            <w14:solidFill>
              <w14:schemeClr w14:val="tx1"/>
            </w14:solidFill>
          </w14:textFill>
        </w:rPr>
        <w:t>及为完成整个项目所产生的其它所有费用。</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13.4</w:t>
      </w:r>
      <w:r>
        <w:rPr>
          <w:rStyle w:val="47"/>
          <w:rFonts w:hint="eastAsia" w:ascii="宋体" w:hAnsi="宋体" w:cs="宋体"/>
          <w:bCs/>
          <w:color w:val="000000" w:themeColor="text1"/>
          <w:sz w:val="24"/>
          <w:szCs w:val="24"/>
          <w14:textFill>
            <w14:solidFill>
              <w14:schemeClr w14:val="tx1"/>
            </w14:solidFill>
          </w14:textFill>
        </w:rPr>
        <w:t>其它费用处理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招标文件未列明，而投标人认为必需的费用也需列入报价。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13.5</w:t>
      </w:r>
      <w:r>
        <w:rPr>
          <w:rStyle w:val="47"/>
          <w:rFonts w:hint="eastAsia" w:ascii="宋体" w:hAnsi="宋体" w:cs="宋体"/>
          <w:bCs/>
          <w:color w:val="000000" w:themeColor="text1"/>
          <w:sz w:val="24"/>
          <w:szCs w:val="24"/>
          <w14:textFill>
            <w14:solidFill>
              <w14:schemeClr w14:val="tx1"/>
            </w14:solidFill>
          </w14:textFill>
        </w:rPr>
        <w:t>投标货币</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投标文件中的货物</w:t>
      </w:r>
      <w:r>
        <w:rPr>
          <w:rStyle w:val="47"/>
          <w:rFonts w:hint="eastAsia" w:ascii="宋体" w:hAnsi="宋体" w:cs="宋体"/>
          <w:color w:val="000000" w:themeColor="text1"/>
          <w:sz w:val="24"/>
          <w:szCs w:val="24"/>
          <w14:textFill>
            <w14:solidFill>
              <w14:schemeClr w14:val="tx1"/>
            </w14:solidFill>
          </w14:textFill>
        </w:rPr>
        <w:t>及服务</w:t>
      </w:r>
      <w:r>
        <w:rPr>
          <w:rStyle w:val="47"/>
          <w:rFonts w:hint="eastAsia" w:ascii="宋体" w:hAnsi="宋体" w:cs="宋体"/>
          <w:bCs/>
          <w:color w:val="000000" w:themeColor="text1"/>
          <w:sz w:val="24"/>
          <w:szCs w:val="24"/>
          <w14:textFill>
            <w14:solidFill>
              <w14:schemeClr w14:val="tx1"/>
            </w14:solidFill>
          </w14:textFill>
        </w:rPr>
        <w:t>单价和总价无特殊规定的采用人民币报价，以元为单位标注。</w:t>
      </w:r>
      <w:r>
        <w:rPr>
          <w:rStyle w:val="47"/>
          <w:rFonts w:hint="eastAsia" w:ascii="宋体" w:hAnsi="宋体" w:cs="宋体"/>
          <w:color w:val="000000" w:themeColor="text1"/>
          <w:sz w:val="24"/>
          <w:szCs w:val="24"/>
          <w14:textFill>
            <w14:solidFill>
              <w14:schemeClr w14:val="tx1"/>
            </w14:solidFill>
          </w14:textFill>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color w:val="000000" w:themeColor="text1"/>
          <w:sz w:val="24"/>
          <w:szCs w:val="24"/>
          <w14:textFill>
            <w14:solidFill>
              <w14:schemeClr w14:val="tx1"/>
            </w14:solidFill>
          </w14:textFill>
        </w:rPr>
        <w:t>明</w:t>
      </w:r>
    </w:p>
    <w:p>
      <w:pPr>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bCs/>
          <w:color w:val="000000" w:themeColor="text1"/>
          <w:sz w:val="24"/>
          <w:szCs w:val="24"/>
          <w:lang w:val="zh-CN"/>
          <w14:textFill>
            <w14:solidFill>
              <w14:schemeClr w14:val="tx1"/>
            </w14:solidFill>
          </w14:textFill>
        </w:rPr>
        <w:t>14.1</w:t>
      </w:r>
      <w:r>
        <w:rPr>
          <w:rStyle w:val="47"/>
          <w:rFonts w:hint="eastAsia" w:ascii="宋体" w:hAnsi="宋体" w:cs="宋体"/>
          <w:color w:val="000000" w:themeColor="text1"/>
          <w:sz w:val="24"/>
          <w:szCs w:val="24"/>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14.3 培训计划；</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color w:val="000000" w:themeColor="text1"/>
          <w:sz w:val="24"/>
          <w:szCs w:val="24"/>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w:t>
      </w:r>
      <w:r>
        <w:rPr>
          <w:rStyle w:val="47"/>
          <w:rFonts w:hint="eastAsia" w:ascii="宋体" w:hAnsi="宋体" w:cs="宋体"/>
          <w:color w:val="000000" w:themeColor="text1"/>
          <w:sz w:val="24"/>
          <w:szCs w:val="24"/>
          <w:lang w:val="zh-CN"/>
          <w14:textFill>
            <w14:solidFill>
              <w14:schemeClr w14:val="tx1"/>
            </w14:solidFill>
          </w14:textFill>
        </w:rPr>
        <w:t>5、服务承诺及售后服务机构、人员的情况介绍</w:t>
      </w:r>
    </w:p>
    <w:p>
      <w:pPr>
        <w:tabs>
          <w:tab w:val="left" w:pos="1035"/>
        </w:tabs>
        <w:snapToGrid w:val="0"/>
        <w:spacing w:line="360" w:lineRule="auto"/>
        <w:ind w:firstLine="480" w:firstLineChars="200"/>
        <w:rPr>
          <w:rStyle w:val="47"/>
          <w:rFonts w:ascii="宋体" w:hAnsi="宋体" w:cs="宋体"/>
          <w:color w:val="000000" w:themeColor="text1"/>
          <w:sz w:val="24"/>
          <w:szCs w:val="24"/>
          <w:lang w:val="zh-CN"/>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15.1</w:t>
      </w:r>
      <w:r>
        <w:rPr>
          <w:rStyle w:val="47"/>
          <w:rFonts w:hint="eastAsia" w:ascii="宋体" w:hAnsi="宋体" w:cs="宋体"/>
          <w:color w:val="000000" w:themeColor="text1"/>
          <w:sz w:val="24"/>
          <w:szCs w:val="24"/>
          <w14:textFill>
            <w14:solidFill>
              <w14:schemeClr w14:val="tx1"/>
            </w14:solidFill>
          </w14:textFill>
        </w:rPr>
        <w:t>投标人的服务承诺应按不低于招标文件中商务要求的标准。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15.2</w:t>
      </w:r>
      <w:r>
        <w:rPr>
          <w:rStyle w:val="47"/>
          <w:rFonts w:hint="eastAsia" w:ascii="宋体" w:hAnsi="宋体" w:cs="宋体"/>
          <w:color w:val="000000" w:themeColor="text1"/>
          <w:sz w:val="24"/>
          <w:szCs w:val="24"/>
          <w14:textFill>
            <w14:solidFill>
              <w14:schemeClr w14:val="tx1"/>
            </w14:solidFill>
          </w14:textFill>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16、投标函和开标一览表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16.1</w:t>
      </w:r>
      <w:r>
        <w:rPr>
          <w:rStyle w:val="47"/>
          <w:rFonts w:hint="eastAsia" w:ascii="宋体" w:hAnsi="宋体" w:cs="宋体"/>
          <w:color w:val="000000" w:themeColor="text1"/>
          <w:sz w:val="24"/>
          <w:szCs w:val="24"/>
          <w14:textFill>
            <w14:solidFill>
              <w14:schemeClr w14:val="tx1"/>
            </w14:solidFill>
          </w14:textFill>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16.2开标一览表中的价格应与投标文件中投标配置与分项报价表中的价格一致，如不一致，</w:t>
      </w:r>
      <w:r>
        <w:rPr>
          <w:rStyle w:val="47"/>
          <w:rFonts w:hint="eastAsia" w:ascii="宋体" w:hAnsi="宋体" w:cs="宋体"/>
          <w:color w:val="000000" w:themeColor="text1"/>
          <w:sz w:val="24"/>
          <w:szCs w:val="24"/>
          <w14:textFill>
            <w14:solidFill>
              <w14:schemeClr w14:val="tx1"/>
            </w14:solidFill>
          </w14:textFill>
        </w:rPr>
        <w:t>不作为无效投标处理</w:t>
      </w:r>
      <w:r>
        <w:rPr>
          <w:rStyle w:val="47"/>
          <w:rFonts w:hint="eastAsia" w:ascii="宋体" w:hAnsi="宋体" w:cs="宋体"/>
          <w:bCs/>
          <w:color w:val="000000" w:themeColor="text1"/>
          <w:sz w:val="24"/>
          <w:szCs w:val="24"/>
          <w14:textFill>
            <w14:solidFill>
              <w14:schemeClr w14:val="tx1"/>
            </w14:solidFill>
          </w14:textFill>
        </w:rPr>
        <w:t>，但评标时按开标一览表中价格为准</w:t>
      </w:r>
      <w:r>
        <w:rPr>
          <w:rStyle w:val="47"/>
          <w:rFonts w:hint="eastAsia" w:ascii="宋体" w:hAnsi="宋体" w:cs="宋体"/>
          <w:b/>
          <w:bCs/>
          <w:color w:val="000000" w:themeColor="text1"/>
          <w:sz w:val="24"/>
          <w:szCs w:val="24"/>
          <w14:textFill>
            <w14:solidFill>
              <w14:schemeClr w14:val="tx1"/>
            </w14:solidFill>
          </w14:textFill>
        </w:rPr>
        <w:t>。</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17、投标有效期</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17.1</w:t>
      </w:r>
      <w:r>
        <w:rPr>
          <w:rStyle w:val="47"/>
          <w:rFonts w:hint="eastAsia" w:ascii="宋体" w:hAnsi="宋体" w:cs="宋体"/>
          <w:bCs/>
          <w:color w:val="000000" w:themeColor="text1"/>
          <w:sz w:val="24"/>
          <w:szCs w:val="24"/>
          <w14:textFill>
            <w14:solidFill>
              <w14:schemeClr w14:val="tx1"/>
            </w14:solidFill>
          </w14:textFill>
        </w:rPr>
        <w:t xml:space="preserve"> 投标有效期为采购人或采购代理机构规定的开标之日后</w:t>
      </w:r>
      <w:r>
        <w:rPr>
          <w:rStyle w:val="47"/>
          <w:rFonts w:hint="eastAsia" w:ascii="宋体" w:hAnsi="宋体" w:cs="宋体"/>
          <w:b/>
          <w:color w:val="000000" w:themeColor="text1"/>
          <w:sz w:val="24"/>
          <w:szCs w:val="24"/>
          <w:u w:val="single" w:color="000000"/>
          <w14:textFill>
            <w14:solidFill>
              <w14:schemeClr w14:val="tx1"/>
            </w14:solidFill>
          </w14:textFill>
        </w:rPr>
        <w:t>六十（60）天</w:t>
      </w:r>
      <w:r>
        <w:rPr>
          <w:rStyle w:val="47"/>
          <w:rFonts w:hint="eastAsia" w:ascii="宋体" w:hAnsi="宋体" w:cs="宋体"/>
          <w:bCs/>
          <w:color w:val="000000" w:themeColor="text1"/>
          <w:sz w:val="24"/>
          <w:szCs w:val="24"/>
          <w14:textFill>
            <w14:solidFill>
              <w14:schemeClr w14:val="tx1"/>
            </w14:solidFill>
          </w14:textFill>
        </w:rPr>
        <w:t>。投标有效期比规定短的将被视为非响应性投标而予以拒绝。</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17.2</w:t>
      </w:r>
      <w:r>
        <w:rPr>
          <w:rStyle w:val="47"/>
          <w:rFonts w:hint="eastAsia" w:ascii="宋体" w:hAnsi="宋体" w:cs="宋体"/>
          <w:bCs/>
          <w:color w:val="000000" w:themeColor="text1"/>
          <w:sz w:val="24"/>
          <w:szCs w:val="24"/>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color w:val="000000" w:themeColor="text1"/>
          <w:sz w:val="24"/>
          <w:szCs w:val="24"/>
          <w14:textFill>
            <w14:solidFill>
              <w14:schemeClr w14:val="tx1"/>
            </w14:solidFill>
          </w14:textFill>
        </w:rPr>
        <w:t>。</w:t>
      </w:r>
      <w:r>
        <w:rPr>
          <w:rStyle w:val="47"/>
          <w:rFonts w:hint="eastAsia" w:ascii="宋体" w:hAnsi="宋体" w:cs="宋体"/>
          <w:bCs/>
          <w:color w:val="000000" w:themeColor="text1"/>
          <w:sz w:val="24"/>
          <w:szCs w:val="24"/>
          <w14:textFill>
            <w14:solidFill>
              <w14:schemeClr w14:val="tx1"/>
            </w14:solidFill>
          </w14:textFill>
        </w:rPr>
        <w:t>同意延长投标有效期的投标人既不能要求也不允许修改其投标文件。</w:t>
      </w:r>
      <w:r>
        <w:rPr>
          <w:rStyle w:val="47"/>
          <w:rFonts w:hint="eastAsia" w:ascii="宋体" w:hAnsi="宋体" w:cs="宋体"/>
          <w:color w:val="000000" w:themeColor="text1"/>
          <w:sz w:val="24"/>
          <w:szCs w:val="24"/>
          <w14:textFill>
            <w14:solidFill>
              <w14:schemeClr w14:val="tx1"/>
            </w14:solidFill>
          </w14:textFill>
        </w:rPr>
        <w:t>受投标有效期约束的所有权利与义务均延长至新的有效期</w:t>
      </w:r>
      <w:r>
        <w:rPr>
          <w:rStyle w:val="47"/>
          <w:rFonts w:hint="eastAsia" w:ascii="宋体" w:hAnsi="宋体" w:cs="宋体"/>
          <w:bCs/>
          <w:color w:val="000000" w:themeColor="text1"/>
          <w:sz w:val="24"/>
          <w:szCs w:val="24"/>
          <w14:textFill>
            <w14:solidFill>
              <w14:schemeClr w14:val="tx1"/>
            </w14:solidFill>
          </w14:textFill>
        </w:rPr>
        <w:t>。</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18、投标文件份数和签署</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18.1</w:t>
      </w:r>
      <w:r>
        <w:rPr>
          <w:rStyle w:val="47"/>
          <w:rFonts w:hint="eastAsia" w:ascii="宋体" w:hAnsi="宋体" w:cs="宋体"/>
          <w:bCs/>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18.2投标文件正本中，</w:t>
      </w:r>
      <w:r>
        <w:rPr>
          <w:rStyle w:val="47"/>
          <w:rFonts w:hint="eastAsia" w:ascii="宋体" w:hAnsi="宋体" w:cs="宋体"/>
          <w:bCs/>
          <w:color w:val="000000" w:themeColor="text1"/>
          <w:sz w:val="24"/>
          <w:szCs w:val="24"/>
          <w14:textFill>
            <w14:solidFill>
              <w14:schemeClr w14:val="tx1"/>
            </w14:solidFill>
          </w14:textFill>
        </w:rPr>
        <w:t>招标文件要求必须提供原件的按照要求提供，文</w:t>
      </w:r>
      <w:r>
        <w:rPr>
          <w:rStyle w:val="47"/>
          <w:rFonts w:hint="eastAsia" w:ascii="宋体" w:hAnsi="宋体" w:cs="宋体"/>
          <w:color w:val="000000" w:themeColor="text1"/>
          <w:sz w:val="24"/>
          <w:szCs w:val="24"/>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18.3</w:t>
      </w:r>
      <w:r>
        <w:rPr>
          <w:rStyle w:val="47"/>
          <w:rFonts w:hint="eastAsia" w:ascii="宋体" w:hAnsi="宋体" w:cs="宋体"/>
          <w:bCs/>
          <w:color w:val="000000" w:themeColor="text1"/>
          <w:sz w:val="24"/>
          <w:szCs w:val="24"/>
          <w14:textFill>
            <w14:solidFill>
              <w14:schemeClr w14:val="tx1"/>
            </w14:solidFill>
          </w14:textFill>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四、投标文件的递交</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19、投标文件的密封和标记</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19.1</w:t>
      </w:r>
      <w:r>
        <w:rPr>
          <w:rStyle w:val="47"/>
          <w:rFonts w:hint="eastAsia" w:ascii="宋体" w:hAnsi="宋体" w:cs="宋体"/>
          <w:bCs/>
          <w:color w:val="000000" w:themeColor="text1"/>
          <w:sz w:val="24"/>
          <w:szCs w:val="24"/>
          <w14:textFill>
            <w14:solidFill>
              <w14:schemeClr w14:val="tx1"/>
            </w14:solidFill>
          </w14:textFill>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19.2</w:t>
      </w:r>
      <w:r>
        <w:rPr>
          <w:rStyle w:val="47"/>
          <w:rFonts w:hint="eastAsia" w:ascii="宋体" w:hAnsi="宋体" w:cs="宋体"/>
          <w:bCs/>
          <w:color w:val="000000" w:themeColor="text1"/>
          <w:sz w:val="24"/>
          <w:szCs w:val="24"/>
          <w14:textFill>
            <w14:solidFill>
              <w14:schemeClr w14:val="tx1"/>
            </w14:solidFill>
          </w14:textFill>
        </w:rPr>
        <w:t xml:space="preserve"> 密封的投标文件应：</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19.2.2  注明投标项目名称、标书编号及包号。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19.2.3</w:t>
      </w:r>
      <w:r>
        <w:rPr>
          <w:rStyle w:val="47"/>
          <w:rFonts w:hint="eastAsia" w:ascii="宋体" w:hAnsi="宋体" w:cs="宋体"/>
          <w:bCs/>
          <w:color w:val="000000" w:themeColor="text1"/>
          <w:sz w:val="24"/>
          <w:szCs w:val="24"/>
          <w14:textFill>
            <w14:solidFill>
              <w14:schemeClr w14:val="tx1"/>
            </w14:solidFill>
          </w14:textFill>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20、投标截止日期</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20.1</w:t>
      </w:r>
      <w:r>
        <w:rPr>
          <w:rStyle w:val="47"/>
          <w:rFonts w:hint="eastAsia" w:ascii="宋体" w:hAnsi="宋体" w:cs="宋体"/>
          <w:bCs/>
          <w:color w:val="000000" w:themeColor="text1"/>
          <w:sz w:val="24"/>
          <w:szCs w:val="24"/>
          <w14:textFill>
            <w14:solidFill>
              <w14:schemeClr w14:val="tx1"/>
            </w14:solidFill>
          </w14:textFill>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20.2</w:t>
      </w:r>
      <w:r>
        <w:rPr>
          <w:rStyle w:val="47"/>
          <w:rFonts w:hint="eastAsia" w:ascii="宋体" w:hAnsi="宋体" w:cs="宋体"/>
          <w:bCs/>
          <w:color w:val="000000" w:themeColor="text1"/>
          <w:sz w:val="24"/>
          <w:szCs w:val="24"/>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21、迟交的投标文件</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21.1</w:t>
      </w:r>
      <w:r>
        <w:rPr>
          <w:rStyle w:val="47"/>
          <w:rFonts w:hint="eastAsia" w:ascii="宋体" w:hAnsi="宋体" w:cs="宋体"/>
          <w:bCs/>
          <w:color w:val="000000" w:themeColor="text1"/>
          <w:sz w:val="24"/>
          <w:szCs w:val="24"/>
          <w14:textFill>
            <w14:solidFill>
              <w14:schemeClr w14:val="tx1"/>
            </w14:solidFill>
          </w14:textFill>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22、投标文件的修改和撤回</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22.1</w:t>
      </w:r>
      <w:r>
        <w:rPr>
          <w:rStyle w:val="47"/>
          <w:rFonts w:hint="eastAsia" w:ascii="宋体" w:hAnsi="宋体" w:cs="宋体"/>
          <w:bCs/>
          <w:color w:val="000000" w:themeColor="text1"/>
          <w:sz w:val="24"/>
          <w:szCs w:val="24"/>
          <w14:textFill>
            <w14:solidFill>
              <w14:schemeClr w14:val="tx1"/>
            </w14:solidFill>
          </w14:textFill>
        </w:rPr>
        <w:t xml:space="preserve"> 投标人在递交投标文件后，可以修改或撤回其投标文件，但这种修改和撤回，必须在规定的投标截止时间前，以书面形式</w:t>
      </w:r>
      <w:r>
        <w:rPr>
          <w:rStyle w:val="47"/>
          <w:rFonts w:hint="eastAsia" w:ascii="宋体" w:hAnsi="宋体" w:cs="宋体"/>
          <w:color w:val="000000" w:themeColor="text1"/>
          <w:sz w:val="24"/>
          <w:szCs w:val="24"/>
          <w14:textFill>
            <w14:solidFill>
              <w14:schemeClr w14:val="tx1"/>
            </w14:solidFill>
          </w14:textFill>
        </w:rPr>
        <w:t>通知采购人或采购代理机构，修改或撤回其投标文件。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22.2</w:t>
      </w:r>
      <w:r>
        <w:rPr>
          <w:rStyle w:val="47"/>
          <w:rFonts w:hint="eastAsia" w:ascii="宋体" w:hAnsi="宋体" w:cs="宋体"/>
          <w:bCs/>
          <w:color w:val="000000" w:themeColor="text1"/>
          <w:sz w:val="24"/>
          <w:szCs w:val="24"/>
          <w14:textFill>
            <w14:solidFill>
              <w14:schemeClr w14:val="tx1"/>
            </w14:solidFill>
          </w14:textFill>
        </w:rPr>
        <w:t xml:space="preserve"> 投标人的修改或撤回文件应按规定进行编制、密封、标记和发送，并应在封套上加注“修改”或“撤回”字样。</w:t>
      </w:r>
      <w:r>
        <w:rPr>
          <w:rStyle w:val="47"/>
          <w:rFonts w:hint="eastAsia" w:ascii="宋体" w:hAnsi="宋体" w:cs="宋体"/>
          <w:color w:val="000000" w:themeColor="text1"/>
          <w:sz w:val="24"/>
          <w:szCs w:val="24"/>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22.3</w:t>
      </w:r>
      <w:r>
        <w:rPr>
          <w:rStyle w:val="47"/>
          <w:rFonts w:hint="eastAsia" w:ascii="宋体" w:hAnsi="宋体" w:cs="宋体"/>
          <w:bCs/>
          <w:color w:val="000000" w:themeColor="text1"/>
          <w:sz w:val="24"/>
          <w:szCs w:val="24"/>
          <w14:textFill>
            <w14:solidFill>
              <w14:schemeClr w14:val="tx1"/>
            </w14:solidFill>
          </w14:textFill>
        </w:rPr>
        <w:t xml:space="preserve"> 在投标截止时间之后，投标人不得对其投标文件作任何修改。</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22.4</w:t>
      </w:r>
      <w:r>
        <w:rPr>
          <w:rStyle w:val="47"/>
          <w:rFonts w:hint="eastAsia" w:ascii="宋体" w:hAnsi="宋体" w:cs="宋体"/>
          <w:bCs/>
          <w:color w:val="000000" w:themeColor="text1"/>
          <w:sz w:val="24"/>
          <w:szCs w:val="24"/>
          <w14:textFill>
            <w14:solidFill>
              <w14:schemeClr w14:val="tx1"/>
            </w14:solidFill>
          </w14:textFill>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五、开标与评标</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23、开标</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23.1</w:t>
      </w:r>
      <w:r>
        <w:rPr>
          <w:rStyle w:val="47"/>
          <w:rFonts w:hint="eastAsia" w:ascii="宋体" w:hAnsi="宋体" w:cs="宋体"/>
          <w:bCs/>
          <w:color w:val="000000" w:themeColor="text1"/>
          <w:sz w:val="24"/>
          <w:szCs w:val="24"/>
          <w14:textFill>
            <w14:solidFill>
              <w14:schemeClr w14:val="tx1"/>
            </w14:solidFill>
          </w14:textFill>
        </w:rPr>
        <w:t xml:space="preserve"> 采购人和采购代理机构将在招标公告中规定的时间和地点组织公开开标</w:t>
      </w:r>
      <w:r>
        <w:rPr>
          <w:rStyle w:val="47"/>
          <w:rFonts w:hint="eastAsia" w:ascii="宋体" w:hAnsi="宋体" w:cs="宋体"/>
          <w:color w:val="000000" w:themeColor="text1"/>
          <w:sz w:val="24"/>
          <w:szCs w:val="24"/>
          <w14:textFill>
            <w14:solidFill>
              <w14:schemeClr w14:val="tx1"/>
            </w14:solidFill>
          </w14:textFill>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23.3</w:t>
      </w:r>
      <w:r>
        <w:rPr>
          <w:rStyle w:val="47"/>
          <w:rFonts w:hint="eastAsia" w:ascii="宋体" w:hAnsi="宋体" w:cs="宋体"/>
          <w:bCs/>
          <w:color w:val="000000" w:themeColor="text1"/>
          <w:sz w:val="24"/>
          <w:szCs w:val="24"/>
          <w14:textFill>
            <w14:solidFill>
              <w14:schemeClr w14:val="tx1"/>
            </w14:solidFill>
          </w14:textFill>
        </w:rPr>
        <w:t>按照规定同意撤回的投标将不予开封。</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24、资格审查</w:t>
      </w:r>
    </w:p>
    <w:p>
      <w:pPr>
        <w:adjustRightInd w:val="0"/>
        <w:snapToGrid w:val="0"/>
        <w:spacing w:line="360" w:lineRule="auto"/>
        <w:ind w:firstLine="480" w:firstLineChars="200"/>
        <w:jc w:val="left"/>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25、评标委员会</w:t>
      </w:r>
    </w:p>
    <w:p>
      <w:pPr>
        <w:snapToGrid w:val="0"/>
        <w:spacing w:line="360" w:lineRule="auto"/>
        <w:ind w:firstLine="480" w:firstLineChars="200"/>
        <w:rPr>
          <w:rStyle w:val="47"/>
          <w:rFonts w:ascii="宋体" w:hAnsi="宋体" w:cs="宋体"/>
          <w:b/>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26、评标过程的保密与公正</w:t>
      </w:r>
    </w:p>
    <w:p>
      <w:pPr>
        <w:widowControl w:val="0"/>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26.1</w:t>
      </w:r>
      <w:r>
        <w:rPr>
          <w:rStyle w:val="47"/>
          <w:rFonts w:hint="eastAsia" w:ascii="宋体" w:hAnsi="宋体" w:cs="宋体"/>
          <w:bCs/>
          <w:color w:val="000000" w:themeColor="text1"/>
          <w:sz w:val="24"/>
          <w:szCs w:val="24"/>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27、投标的澄清</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28、对投标文件的评审</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28.1</w:t>
      </w:r>
      <w:r>
        <w:rPr>
          <w:rStyle w:val="47"/>
          <w:rFonts w:hint="eastAsia" w:ascii="宋体" w:hAnsi="宋体" w:cs="宋体"/>
          <w:bCs/>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color w:val="000000" w:themeColor="text1"/>
          <w:sz w:val="24"/>
          <w:szCs w:val="24"/>
          <w14:textFill>
            <w14:solidFill>
              <w14:schemeClr w14:val="tx1"/>
            </w14:solidFill>
          </w14:textFill>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28.3</w:t>
      </w:r>
      <w:r>
        <w:rPr>
          <w:rStyle w:val="47"/>
          <w:rFonts w:hint="eastAsia" w:ascii="宋体" w:hAnsi="宋体" w:cs="宋体"/>
          <w:bCs/>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28.4</w:t>
      </w:r>
      <w:r>
        <w:rPr>
          <w:rStyle w:val="47"/>
          <w:rFonts w:hint="eastAsia" w:ascii="宋体" w:hAnsi="宋体" w:cs="宋体"/>
          <w:bCs/>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（2）大写金额和小写金额不一致的，以大写金额为准。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（4）总价金额与按单价汇总金额不一致的，以单价金额计算结果为准。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同时出现两种以上错误的，按照前款规定的顺序修正。</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28.5</w:t>
      </w:r>
      <w:r>
        <w:rPr>
          <w:rStyle w:val="47"/>
          <w:rFonts w:hint="eastAsia" w:ascii="宋体" w:hAnsi="宋体" w:cs="宋体"/>
          <w:bCs/>
          <w:color w:val="000000" w:themeColor="text1"/>
          <w:sz w:val="24"/>
          <w:szCs w:val="24"/>
          <w14:textFill>
            <w14:solidFill>
              <w14:schemeClr w14:val="tx1"/>
            </w14:solidFill>
          </w14:textFill>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28.6</w:t>
      </w:r>
      <w:r>
        <w:rPr>
          <w:rStyle w:val="47"/>
          <w:rFonts w:hint="eastAsia" w:ascii="宋体" w:hAnsi="宋体" w:cs="宋体"/>
          <w:bCs/>
          <w:color w:val="000000" w:themeColor="text1"/>
          <w:sz w:val="24"/>
          <w:szCs w:val="24"/>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28.7</w:t>
      </w:r>
      <w:r>
        <w:rPr>
          <w:rStyle w:val="47"/>
          <w:rFonts w:hint="eastAsia" w:ascii="宋体" w:hAnsi="宋体" w:cs="宋体"/>
          <w:b/>
          <w:color w:val="000000" w:themeColor="text1"/>
          <w:sz w:val="24"/>
          <w:szCs w:val="24"/>
          <w14:textFill>
            <w14:solidFill>
              <w14:schemeClr w14:val="tx1"/>
            </w14:solidFill>
          </w14:textFill>
        </w:rPr>
        <w:t>采用最低评标价法的采购项目，</w:t>
      </w:r>
      <w:r>
        <w:rPr>
          <w:rStyle w:val="47"/>
          <w:rFonts w:hint="eastAsia" w:ascii="宋体" w:hAnsi="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
          <w:color w:val="000000" w:themeColor="text1"/>
          <w:sz w:val="24"/>
          <w:szCs w:val="24"/>
          <w14:textFill>
            <w14:solidFill>
              <w14:schemeClr w14:val="tx1"/>
            </w14:solidFill>
          </w14:textFill>
        </w:rPr>
        <w:t>使用综合评分法的采购项目，</w:t>
      </w:r>
      <w:r>
        <w:rPr>
          <w:rStyle w:val="47"/>
          <w:rFonts w:hint="eastAsia" w:ascii="宋体" w:hAnsi="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
          <w:color w:val="000000" w:themeColor="text1"/>
          <w:sz w:val="24"/>
          <w:szCs w:val="24"/>
          <w14:textFill>
            <w14:solidFill>
              <w14:schemeClr w14:val="tx1"/>
            </w14:solidFill>
          </w14:textFill>
        </w:rPr>
        <w:t>非单一产品采购项目，</w:t>
      </w:r>
      <w:r>
        <w:rPr>
          <w:rStyle w:val="47"/>
          <w:rFonts w:hint="eastAsia" w:ascii="宋体" w:hAnsi="宋体" w:cs="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color w:val="000000" w:themeColor="text1"/>
          <w:sz w:val="24"/>
          <w:szCs w:val="24"/>
          <w14:textFill>
            <w14:solidFill>
              <w14:schemeClr w14:val="tx1"/>
            </w14:solidFill>
          </w14:textFill>
        </w:rPr>
      </w:pPr>
      <w:r>
        <w:rPr>
          <w:rStyle w:val="47"/>
          <w:rFonts w:hint="eastAsia" w:ascii="宋体" w:hAnsi="宋体" w:cs="宋体"/>
          <w:b w:val="0"/>
          <w:bCs/>
          <w:color w:val="000000" w:themeColor="text1"/>
          <w:sz w:val="24"/>
          <w:szCs w:val="24"/>
          <w14:textFill>
            <w14:solidFill>
              <w14:schemeClr w14:val="tx1"/>
            </w14:solidFill>
          </w14:textFill>
        </w:rPr>
        <w:t>29、无效投标条款和废标条款</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29.1无效投标条款</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29.1.1未按要求交纳投标保证金的（本项目无要求）；</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29.1.2未按照招标文件规定要求密封、签署、盖章的；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29.1.3投标人在报价时采用选择性报价；</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29.1.4投标人不具备招标文件中规定资格要求的；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29.1.5投标人的报价超过了采购预算或最高限价的；</w:t>
      </w:r>
    </w:p>
    <w:p>
      <w:pPr>
        <w:snapToGrid w:val="0"/>
        <w:spacing w:line="360" w:lineRule="auto"/>
        <w:ind w:firstLine="480" w:firstLineChars="200"/>
        <w:rPr>
          <w:rStyle w:val="47"/>
          <w:rFonts w:ascii="宋体" w:hAnsi="宋体" w:cs="宋体"/>
          <w:bCs/>
          <w:i/>
          <w:color w:val="000000" w:themeColor="text1"/>
          <w:sz w:val="24"/>
          <w:szCs w:val="24"/>
          <w:u w:val="single" w:color="000000"/>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29.1.6未通过符合性检查的；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29.1.7不符合招标文件中规定的其他实质性要求和条件的；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29.1.8 投标人串通投标；</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29.1.9  投标文件含有采购人不能接受的附加条件的。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29.1.11其他法律、法规及本招标文件规定的属无效投标的情形。</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 xml:space="preserve">29.2废标条款：                                                                                                                                                                                                                                                                                                                                                                                                                                                                                                                                                                                                                                                                                                                                                                                                                                                                                                                                                                                                                                                                                                                                                                                                                                                                                                                                                                                                                                                                         </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29.2.2出现影响采购公正的违法、违规行为的；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29.2.3因重大变故，采购任务取消的；</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29.2.4评标委员会认定招标文件存在歧义、 重大缺陷导致评审工作无法进行。</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29.3 投标截止时间结束后参加投标的供应商不足三家的处理：</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六、定标</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30、确定中标单位</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30.2 采购人应根据评委会推荐的中标候选人确定中标供应商。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30.3采购人</w:t>
      </w:r>
      <w:r>
        <w:rPr>
          <w:rStyle w:val="47"/>
          <w:rFonts w:hint="eastAsia" w:ascii="宋体" w:hAnsi="宋体" w:cs="宋体"/>
          <w:color w:val="000000" w:themeColor="text1"/>
          <w:sz w:val="24"/>
          <w:szCs w:val="24"/>
          <w14:textFill>
            <w14:solidFill>
              <w14:schemeClr w14:val="tx1"/>
            </w14:solidFill>
          </w14:textFill>
        </w:rPr>
        <w:t>将在“盐城市政府采购网或盐城工业职业技术学院招标采购网”发布中标公告，公告期限为1个工作日。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.4.1提供虚假材料谋取中标的；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.4.2向采购人或采购代理机构行贿或者提供其他不正当利益的；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30</w:t>
      </w:r>
      <w:r>
        <w:rPr>
          <w:rStyle w:val="47"/>
          <w:rFonts w:hint="eastAsia" w:ascii="宋体" w:hAnsi="宋体" w:cs="宋体"/>
          <w:color w:val="000000" w:themeColor="text1"/>
          <w:sz w:val="24"/>
          <w:szCs w:val="24"/>
          <w14:textFill>
            <w14:solidFill>
              <w14:schemeClr w14:val="tx1"/>
            </w14:solidFill>
          </w14:textFill>
        </w:rPr>
        <w:t>.4.3恶意竞争，投标总报价明显低于其自身合理成本且又无法提供证明的；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30.4.4属于本文件规定的无效条件，但在评标过程中又未被评委会发现的；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30.4.5与采购人或者其他供应商恶意串通的；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30.4.6采取不正当手段诋毁、排挤其他供应商的；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30.4.7不符合法律、法规的规定的。</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 xml:space="preserve">30.5. </w:t>
      </w:r>
      <w:r>
        <w:rPr>
          <w:rStyle w:val="47"/>
          <w:rFonts w:hint="eastAsia" w:ascii="宋体" w:hAnsi="宋体" w:cs="宋体"/>
          <w:color w:val="000000" w:themeColor="text1"/>
          <w:kern w:val="0"/>
          <w:sz w:val="24"/>
          <w:szCs w:val="24"/>
          <w14:textFill>
            <w14:solidFill>
              <w14:schemeClr w14:val="tx1"/>
            </w14:solidFill>
          </w14:textFill>
        </w:rPr>
        <w:t>有下列情形之一的，视为投标人串通投标，投标无效：</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30.5.1不同投标人的投标文件由同一单位或者个人编制。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30.5.2不同投标人委托同一单位或者个人办理投标事宜。</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30.5.4不同投标人的投标文件异常一致或者投标报价呈规律性差异。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31、质疑处理</w:t>
      </w:r>
      <w:r>
        <w:rPr>
          <w:rStyle w:val="47"/>
          <w:rFonts w:hint="eastAsia" w:ascii="宋体" w:hAnsi="宋体" w:cs="宋体"/>
          <w:b w:val="0"/>
          <w:color w:val="000000" w:themeColor="text1"/>
          <w:sz w:val="24"/>
          <w:szCs w:val="24"/>
          <w14:textFill>
            <w14:solidFill>
              <w14:schemeClr w14:val="tx1"/>
            </w14:solidFill>
          </w14:textFill>
        </w:rPr>
        <w:tab/>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31.1.1</w:t>
      </w:r>
      <w:r>
        <w:rPr>
          <w:rStyle w:val="47"/>
          <w:rFonts w:hint="eastAsia" w:ascii="宋体" w:hAnsi="宋体" w:cs="宋体"/>
          <w:color w:val="000000" w:themeColor="text1"/>
          <w:kern w:val="0"/>
          <w:sz w:val="24"/>
          <w:szCs w:val="24"/>
          <w14:textFill>
            <w14:solidFill>
              <w14:schemeClr w14:val="tx1"/>
            </w14:solidFill>
          </w14:textFill>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color w:val="000000" w:themeColor="text1"/>
          <w:kern w:val="0"/>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31.1.2</w:t>
      </w:r>
      <w:r>
        <w:rPr>
          <w:rStyle w:val="47"/>
          <w:rFonts w:hint="eastAsia" w:ascii="宋体" w:hAnsi="宋体" w:cs="宋体"/>
          <w:color w:val="000000" w:themeColor="text1"/>
          <w:kern w:val="0"/>
          <w:sz w:val="24"/>
          <w:szCs w:val="24"/>
          <w14:textFill>
            <w14:solidFill>
              <w14:schemeClr w14:val="tx1"/>
            </w14:solidFill>
          </w14:textFill>
        </w:rPr>
        <w:t>对采购过程提出质疑的，为各采购程序环节结束之日；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31.1.3</w:t>
      </w:r>
      <w:r>
        <w:rPr>
          <w:rStyle w:val="47"/>
          <w:rFonts w:hint="eastAsia" w:ascii="宋体"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color w:val="000000" w:themeColor="text1"/>
          <w:sz w:val="24"/>
          <w:szCs w:val="24"/>
          <w14:textFill>
            <w14:solidFill>
              <w14:schemeClr w14:val="tx1"/>
            </w14:solidFill>
          </w14:textFill>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31.4质疑函应当包括下列内容：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31.4.1质疑投标人的名称、地址、邮编、联系人、联系电话；</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31.4.2具体的质疑事项及明确的请求；</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31.4.4提起质疑的日期；</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32、中标通知书</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32.l中标结果确定后，采购人将向中标供应商发出中标通知书。</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七、合同签订相关事项</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33. 签订合同</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33</w:t>
      </w:r>
      <w:r>
        <w:rPr>
          <w:rStyle w:val="47"/>
          <w:rFonts w:hint="eastAsia" w:ascii="宋体" w:hAnsi="宋体" w:cs="宋体"/>
          <w:color w:val="000000" w:themeColor="text1"/>
          <w:sz w:val="24"/>
          <w:szCs w:val="24"/>
          <w14:textFill>
            <w14:solidFill>
              <w14:schemeClr w14:val="tx1"/>
            </w14:solidFill>
          </w14:textFill>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color w:val="000000" w:themeColor="text1"/>
          <w:sz w:val="24"/>
          <w:szCs w:val="24"/>
          <w14:textFill>
            <w14:solidFill>
              <w14:schemeClr w14:val="tx1"/>
            </w14:solidFill>
          </w14:textFill>
        </w:rPr>
      </w:pPr>
      <w:r>
        <w:rPr>
          <w:rStyle w:val="47"/>
          <w:rFonts w:hint="eastAsia" w:ascii="宋体" w:hAnsi="宋体" w:cs="宋体"/>
          <w:b w:val="0"/>
          <w:color w:val="000000" w:themeColor="text1"/>
          <w:sz w:val="24"/>
          <w:szCs w:val="24"/>
          <w14:textFill>
            <w14:solidFill>
              <w14:schemeClr w14:val="tx1"/>
            </w14:solidFill>
          </w14:textFill>
        </w:rPr>
        <w:t>34、货物和服务的追加、减少和添购。</w:t>
      </w:r>
    </w:p>
    <w:p>
      <w:pPr>
        <w:snapToGrid w:val="0"/>
        <w:spacing w:line="360" w:lineRule="auto"/>
        <w:ind w:firstLine="480" w:firstLineChars="200"/>
        <w:rPr>
          <w:rStyle w:val="47"/>
          <w:rFonts w:ascii="宋体" w:hAnsi="宋体" w:cs="宋体"/>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color w:val="000000" w:themeColor="text1"/>
          <w:sz w:val="24"/>
          <w:szCs w:val="2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color w:val="000000" w:themeColor="text1"/>
          <w:sz w:val="24"/>
          <w:szCs w:val="24"/>
          <w14:textFill>
            <w14:solidFill>
              <w14:schemeClr w14:val="tx1"/>
            </w14:solidFill>
          </w14:textFill>
        </w:rPr>
      </w:pPr>
      <w:r>
        <w:rPr>
          <w:rStyle w:val="47"/>
          <w:rFonts w:hint="eastAsia" w:ascii="宋体" w:hAnsi="宋体" w:cs="宋体"/>
          <w:bCs/>
          <w:color w:val="000000" w:themeColor="text1"/>
          <w:sz w:val="24"/>
          <w:szCs w:val="24"/>
          <w14:textFill>
            <w14:solidFill>
              <w14:schemeClr w14:val="tx1"/>
            </w14:solidFill>
          </w14:textFill>
        </w:rPr>
        <w:t>35、履约保证金</w:t>
      </w:r>
    </w:p>
    <w:p>
      <w:pPr>
        <w:tabs>
          <w:tab w:val="left" w:pos="900"/>
        </w:tabs>
        <w:snapToGrid w:val="0"/>
        <w:spacing w:line="360" w:lineRule="auto"/>
        <w:ind w:firstLine="480" w:firstLineChars="200"/>
        <w:rPr>
          <w:rStyle w:val="47"/>
          <w:rFonts w:ascii="宋体" w:hAnsi="宋体" w:cs="宋体"/>
          <w:b/>
          <w:color w:val="000000" w:themeColor="text1"/>
          <w:sz w:val="44"/>
          <w14:textFill>
            <w14:solidFill>
              <w14:schemeClr w14:val="tx1"/>
            </w14:solidFill>
          </w14:textFill>
        </w:rPr>
      </w:pPr>
      <w:r>
        <w:rPr>
          <w:rStyle w:val="47"/>
          <w:rFonts w:hint="eastAsia" w:ascii="宋体" w:hAnsi="宋体" w:cs="宋体"/>
          <w:color w:val="000000" w:themeColor="text1"/>
          <w:sz w:val="24"/>
          <w:szCs w:val="24"/>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Pr>
        <w:rPr>
          <w:color w:val="000000" w:themeColor="text1"/>
          <w14:textFill>
            <w14:solidFill>
              <w14:schemeClr w14:val="tx1"/>
            </w14:solidFill>
          </w14:textFill>
        </w:rPr>
      </w:pPr>
    </w:p>
    <w:p>
      <w:pPr>
        <w:pStyle w:val="37"/>
        <w:outlineLvl w:val="0"/>
        <w:rPr>
          <w:rStyle w:val="47"/>
          <w:rFonts w:ascii="宋体" w:hAnsi="宋体" w:eastAsia="宋体" w:cs="宋体"/>
          <w:b/>
          <w:color w:val="000000" w:themeColor="text1"/>
          <w:sz w:val="44"/>
          <w14:textFill>
            <w14:solidFill>
              <w14:schemeClr w14:val="tx1"/>
            </w14:solidFill>
          </w14:textFill>
        </w:rPr>
      </w:pPr>
    </w:p>
    <w:p>
      <w:pPr>
        <w:pStyle w:val="37"/>
        <w:jc w:val="both"/>
        <w:outlineLvl w:val="0"/>
        <w:rPr>
          <w:rStyle w:val="47"/>
          <w:rFonts w:ascii="宋体" w:hAnsi="宋体" w:eastAsia="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rStyle w:val="47"/>
          <w:rFonts w:ascii="宋体" w:hAnsi="宋体" w:cs="宋体"/>
          <w:b/>
          <w:color w:val="000000" w:themeColor="text1"/>
          <w:sz w:val="44"/>
          <w14:textFill>
            <w14:solidFill>
              <w14:schemeClr w14:val="tx1"/>
            </w14:solidFill>
          </w14:textFill>
        </w:rPr>
      </w:pPr>
    </w:p>
    <w:p>
      <w:pPr>
        <w:rPr>
          <w:rStyle w:val="47"/>
          <w:rFonts w:ascii="宋体" w:hAnsi="宋体" w:cs="宋体"/>
          <w:b/>
          <w:color w:val="000000" w:themeColor="text1"/>
          <w:sz w:val="44"/>
          <w14:textFill>
            <w14:solidFill>
              <w14:schemeClr w14:val="tx1"/>
            </w14:solidFill>
          </w14:textFill>
        </w:rPr>
      </w:pPr>
    </w:p>
    <w:p>
      <w:pPr>
        <w:pStyle w:val="2"/>
        <w:rPr>
          <w:color w:val="000000" w:themeColor="text1"/>
          <w14:textFill>
            <w14:solidFill>
              <w14:schemeClr w14:val="tx1"/>
            </w14:solidFill>
          </w14:textFill>
        </w:rPr>
      </w:pPr>
    </w:p>
    <w:p>
      <w:pPr>
        <w:pStyle w:val="37"/>
        <w:outlineLvl w:val="0"/>
        <w:rPr>
          <w:rStyle w:val="47"/>
          <w:rFonts w:ascii="宋体" w:hAnsi="宋体" w:eastAsia="宋体" w:cs="宋体"/>
          <w:b/>
          <w:color w:val="000000" w:themeColor="text1"/>
          <w:sz w:val="44"/>
          <w14:textFill>
            <w14:solidFill>
              <w14:schemeClr w14:val="tx1"/>
            </w14:solidFill>
          </w14:textFill>
        </w:rPr>
      </w:pPr>
      <w:r>
        <w:rPr>
          <w:rStyle w:val="47"/>
          <w:rFonts w:hint="eastAsia" w:ascii="宋体" w:hAnsi="宋体" w:eastAsia="宋体" w:cs="宋体"/>
          <w:b/>
          <w:color w:val="000000" w:themeColor="text1"/>
          <w:sz w:val="44"/>
          <w14:textFill>
            <w14:solidFill>
              <w14:schemeClr w14:val="tx1"/>
            </w14:solidFill>
          </w14:textFill>
        </w:rPr>
        <w:t>第三章  合同条款及格式</w:t>
      </w:r>
      <w:bookmarkEnd w:id="4"/>
    </w:p>
    <w:p>
      <w:pPr>
        <w:spacing w:line="440" w:lineRule="exact"/>
        <w:ind w:firstLine="480" w:firstLineChars="200"/>
        <w:rPr>
          <w:rStyle w:val="47"/>
          <w:rFonts w:ascii="宋体" w:hAnsi="宋体" w:cs="宋体"/>
          <w:bCs/>
          <w:color w:val="000000" w:themeColor="text1"/>
          <w:sz w:val="24"/>
          <w14:textFill>
            <w14:solidFill>
              <w14:schemeClr w14:val="tx1"/>
            </w14:solidFill>
          </w14:textFill>
        </w:rPr>
      </w:pPr>
      <w:r>
        <w:rPr>
          <w:rStyle w:val="47"/>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color w:val="000000" w:themeColor="text1"/>
          <w:sz w:val="30"/>
          <w:szCs w:val="20"/>
          <w14:textFill>
            <w14:solidFill>
              <w14:schemeClr w14:val="tx1"/>
            </w14:solidFill>
          </w14:textFill>
        </w:rPr>
      </w:pPr>
      <w:bookmarkStart w:id="5" w:name="_Toc17926"/>
      <w:r>
        <w:rPr>
          <w:rStyle w:val="47"/>
          <w:rFonts w:ascii="宋体" w:hAnsi="宋体"/>
          <w:b/>
          <w:color w:val="000000" w:themeColor="text1"/>
          <w:sz w:val="30"/>
          <w14:textFill>
            <w14:solidFill>
              <w14:schemeClr w14:val="tx1"/>
            </w14:solidFill>
          </w14:textFill>
        </w:rPr>
        <w:t>采购合同（货物格式）</w:t>
      </w:r>
    </w:p>
    <w:p>
      <w:pPr>
        <w:pStyle w:val="73"/>
        <w:snapToGrid w:val="0"/>
        <w:spacing w:line="420" w:lineRule="exact"/>
        <w:ind w:firstLine="480" w:firstLineChars="200"/>
        <w:jc w:val="left"/>
        <w:rPr>
          <w:rStyle w:val="47"/>
          <w:rFonts w:hAnsi="宋体"/>
          <w:color w:val="000000" w:themeColor="text1"/>
          <w:sz w:val="24"/>
          <w:szCs w:val="24"/>
          <w:u w:val="single" w:color="000000"/>
          <w14:textFill>
            <w14:solidFill>
              <w14:schemeClr w14:val="tx1"/>
            </w14:solidFill>
          </w14:textFill>
        </w:rPr>
      </w:pPr>
      <w:r>
        <w:rPr>
          <w:rStyle w:val="47"/>
          <w:rFonts w:hAnsi="宋体"/>
          <w:color w:val="000000" w:themeColor="text1"/>
          <w:sz w:val="24"/>
          <w:szCs w:val="24"/>
          <w14:textFill>
            <w14:solidFill>
              <w14:schemeClr w14:val="tx1"/>
            </w14:solidFill>
          </w14:textFill>
        </w:rPr>
        <w:t>项目名称：</w:t>
      </w:r>
      <w:r>
        <w:rPr>
          <w:rStyle w:val="47"/>
          <w:rFonts w:hint="eastAsia" w:hAnsi="宋体"/>
          <w:color w:val="000000" w:themeColor="text1"/>
          <w:sz w:val="24"/>
          <w:szCs w:val="24"/>
          <w:u w:val="single" w:color="000000"/>
          <w14:textFill>
            <w14:solidFill>
              <w14:schemeClr w14:val="tx1"/>
            </w14:solidFill>
          </w14:textFill>
        </w:rPr>
        <w:t>盐城工业职业技术学院纺纱智能制造中心</w:t>
      </w:r>
    </w:p>
    <w:p>
      <w:pPr>
        <w:pStyle w:val="73"/>
        <w:snapToGrid w:val="0"/>
        <w:spacing w:line="420" w:lineRule="exact"/>
        <w:ind w:firstLine="480" w:firstLineChars="200"/>
        <w:jc w:val="left"/>
        <w:rPr>
          <w:rStyle w:val="47"/>
          <w:rFonts w:hAnsi="宋体"/>
          <w:color w:val="000000" w:themeColor="text1"/>
          <w:sz w:val="24"/>
          <w:szCs w:val="24"/>
          <w14:textFill>
            <w14:solidFill>
              <w14:schemeClr w14:val="tx1"/>
            </w14:solidFill>
          </w14:textFill>
        </w:rPr>
      </w:pPr>
      <w:r>
        <w:rPr>
          <w:rStyle w:val="47"/>
          <w:rFonts w:hAnsi="宋体"/>
          <w:color w:val="000000" w:themeColor="text1"/>
          <w:sz w:val="24"/>
          <w:szCs w:val="24"/>
          <w14:textFill>
            <w14:solidFill>
              <w14:schemeClr w14:val="tx1"/>
            </w14:solidFill>
          </w14:textFill>
        </w:rPr>
        <w:t>项目编号：</w:t>
      </w:r>
      <w:r>
        <w:rPr>
          <w:rStyle w:val="47"/>
          <w:rFonts w:hint="eastAsia" w:hAnsi="宋体"/>
          <w:color w:val="000000" w:themeColor="text1"/>
          <w:sz w:val="24"/>
          <w:szCs w:val="24"/>
          <w:u w:val="single"/>
          <w14:textFill>
            <w14:solidFill>
              <w14:schemeClr w14:val="tx1"/>
            </w14:solidFill>
          </w14:textFill>
        </w:rPr>
        <w:t>2023-010W</w:t>
      </w:r>
    </w:p>
    <w:p>
      <w:pPr>
        <w:pStyle w:val="73"/>
        <w:snapToGrid w:val="0"/>
        <w:spacing w:line="420" w:lineRule="exact"/>
        <w:ind w:firstLine="480" w:firstLineChars="200"/>
        <w:rPr>
          <w:rStyle w:val="47"/>
          <w:rFonts w:hAnsi="宋体"/>
          <w:color w:val="000000" w:themeColor="text1"/>
          <w:sz w:val="24"/>
          <w:szCs w:val="24"/>
          <w14:textFill>
            <w14:solidFill>
              <w14:schemeClr w14:val="tx1"/>
            </w14:solidFill>
          </w14:textFill>
        </w:rPr>
      </w:pPr>
      <w:r>
        <w:rPr>
          <w:rStyle w:val="47"/>
          <w:rFonts w:hAnsi="宋体"/>
          <w:color w:val="000000" w:themeColor="text1"/>
          <w:sz w:val="24"/>
          <w:szCs w:val="24"/>
          <w14:textFill>
            <w14:solidFill>
              <w14:schemeClr w14:val="tx1"/>
            </w14:solidFill>
          </w14:textFill>
        </w:rPr>
        <w:t>甲方：（买方）</w:t>
      </w:r>
      <w:r>
        <w:rPr>
          <w:rStyle w:val="47"/>
          <w:rFonts w:hAnsi="宋体"/>
          <w:color w:val="000000" w:themeColor="text1"/>
          <w:sz w:val="24"/>
          <w:szCs w:val="24"/>
          <w:u w:val="single" w:color="000000"/>
          <w14:textFill>
            <w14:solidFill>
              <w14:schemeClr w14:val="tx1"/>
            </w14:solidFill>
          </w14:textFill>
        </w:rPr>
        <w:t>盐城工业职业技术学院</w:t>
      </w:r>
    </w:p>
    <w:p>
      <w:pPr>
        <w:pStyle w:val="73"/>
        <w:snapToGrid w:val="0"/>
        <w:spacing w:line="420" w:lineRule="exact"/>
        <w:ind w:firstLine="480" w:firstLineChars="200"/>
        <w:rPr>
          <w:rStyle w:val="47"/>
          <w:rFonts w:hAnsi="宋体"/>
          <w:color w:val="000000" w:themeColor="text1"/>
          <w:sz w:val="24"/>
          <w:szCs w:val="24"/>
          <w14:textFill>
            <w14:solidFill>
              <w14:schemeClr w14:val="tx1"/>
            </w14:solidFill>
          </w14:textFill>
        </w:rPr>
      </w:pPr>
      <w:r>
        <w:rPr>
          <w:rStyle w:val="47"/>
          <w:rFonts w:hAnsi="宋体"/>
          <w:color w:val="000000" w:themeColor="text1"/>
          <w:sz w:val="24"/>
          <w:szCs w:val="24"/>
          <w14:textFill>
            <w14:solidFill>
              <w14:schemeClr w14:val="tx1"/>
            </w14:solidFill>
          </w14:textFill>
        </w:rPr>
        <w:t>乙方：（卖方）</w:t>
      </w:r>
    </w:p>
    <w:p>
      <w:pPr>
        <w:spacing w:line="420" w:lineRule="exact"/>
        <w:ind w:firstLine="480" w:firstLineChars="200"/>
        <w:rPr>
          <w:rStyle w:val="47"/>
          <w:rFonts w:ascii="宋体" w:hAnsi="宋体"/>
          <w:b/>
          <w:color w:val="000000" w:themeColor="text1"/>
          <w:sz w:val="24"/>
          <w:szCs w:val="24"/>
          <w14:textFill>
            <w14:solidFill>
              <w14:schemeClr w14:val="tx1"/>
            </w14:solidFill>
          </w14:textFill>
        </w:rPr>
      </w:pPr>
      <w:r>
        <w:rPr>
          <w:rStyle w:val="47"/>
          <w:rFonts w:ascii="宋体" w:hAnsi="宋体"/>
          <w:color w:val="000000" w:themeColor="text1"/>
          <w:sz w:val="24"/>
          <w:szCs w:val="24"/>
          <w14:textFill>
            <w14:solidFill>
              <w14:schemeClr w14:val="tx1"/>
            </w14:solidFill>
          </w14:textFill>
        </w:rPr>
        <w:t>甲、乙双方根据</w:t>
      </w:r>
      <w:r>
        <w:rPr>
          <w:rStyle w:val="47"/>
          <w:rFonts w:hint="eastAsia" w:ascii="宋体" w:hAnsi="宋体"/>
          <w:color w:val="000000" w:themeColor="text1"/>
          <w:sz w:val="24"/>
          <w:szCs w:val="24"/>
          <w:u w:val="single" w:color="000000"/>
          <w14:textFill>
            <w14:solidFill>
              <w14:schemeClr w14:val="tx1"/>
            </w14:solidFill>
          </w14:textFill>
        </w:rPr>
        <w:t>盐城工业职业技术学院纺纱智能制造中心</w:t>
      </w:r>
      <w:r>
        <w:rPr>
          <w:rStyle w:val="47"/>
          <w:rFonts w:ascii="宋体" w:hAnsi="宋体"/>
          <w:color w:val="000000" w:themeColor="text1"/>
          <w:sz w:val="24"/>
          <w:szCs w:val="24"/>
          <w14:textFill>
            <w14:solidFill>
              <w14:schemeClr w14:val="tx1"/>
            </w14:solidFill>
          </w14:textFill>
        </w:rPr>
        <w:t>公开招标的结果，签署本合同。</w:t>
      </w:r>
    </w:p>
    <w:p>
      <w:pPr>
        <w:pStyle w:val="19"/>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19"/>
        <w:widowControl w:val="0"/>
        <w:snapToGrid w:val="0"/>
        <w:spacing w:before="0" w:beforeAutospacing="0" w:after="0" w:afterAutospacing="0" w:line="460" w:lineRule="exact"/>
        <w:ind w:firstLine="480" w:firstLineChars="200"/>
        <w:jc w:val="both"/>
        <w:rPr>
          <w:rStyle w:val="47"/>
          <w:bCs/>
          <w:color w:val="000000" w:themeColor="text1"/>
          <w:kern w:val="2"/>
          <w14:textFill>
            <w14:solidFill>
              <w14:schemeClr w14:val="tx1"/>
            </w14:solidFill>
          </w14:textFill>
        </w:rPr>
      </w:pPr>
      <w:r>
        <w:rPr>
          <w:rStyle w:val="47"/>
          <w:rFonts w:hint="eastAsia"/>
          <w:bCs/>
          <w:color w:val="000000" w:themeColor="text1"/>
          <w:kern w:val="2"/>
          <w14:textFill>
            <w14:solidFill>
              <w14:schemeClr w14:val="tx1"/>
            </w14:solidFill>
          </w14:textFill>
        </w:rPr>
        <w:t>详见招标文件项目需求</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19"/>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19"/>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质保期：提供  年免费质保及免费升级（具体以投标时承诺为准）。（自交货验收合格之日起计）</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供应商应对提供的设备免费安装、免费调试、免费培训、免费提供学习资料。质保期满后，应提供优先的有偿售后服务及按不高于投标文件中主要配件、易损件清单所报价格供应原厂零配件等。质保期内设备内置系统不限版本不限次数免费升级和维护。</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8.3、中标人须设有维修服务电话，负责解答用户在设备使用中遇到的问题，及时提出解决问题的建议和操作方法。</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8.4、售后服务响应时间：如设备出现故障，电话响应无法解决，中标人必须在接报修电话24 小时到现场并解决问题。</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9.1交货期:在签订合同后  个日历天内完成全部内容的服务工作。</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10.1付款方式:招标范围内容全部完成并经安装调试、培训结束，验收合格后付总价的90%；余款一年后根据售后服务情况付总价的5%；验收合格满三年根据售后服务情况付总价的5%。</w:t>
      </w:r>
      <w:r>
        <w:rPr>
          <w:rFonts w:hint="eastAsia"/>
          <w:color w:val="000000" w:themeColor="text1"/>
          <w:kern w:val="2"/>
          <w14:textFill>
            <w14:solidFill>
              <w14:schemeClr w14:val="tx1"/>
            </w14:solidFill>
          </w14:textFill>
        </w:rPr>
        <w:t>乙方必须提供增值税专用发票，否则甲方有权不付款。</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12.3如在使用过程中发生质量问题，乙方在接到甲方通知后在24小时内到达甲方现场。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pgBorders>
            <w:top w:val="none" w:sz="0" w:space="0"/>
            <w:left w:val="none" w:sz="0" w:space="0"/>
            <w:bottom w:val="none" w:sz="0" w:space="0"/>
            <w:right w:val="none" w:sz="0" w:space="0"/>
          </w:pgBorders>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color w:val="000000" w:themeColor="text1"/>
          <w:sz w:val="24"/>
          <w:szCs w:val="24"/>
          <w14:textFill>
            <w14:solidFill>
              <w14:schemeClr w14:val="tx1"/>
            </w14:solidFill>
          </w14:textFill>
        </w:rPr>
      </w:pPr>
      <w:r>
        <w:rPr>
          <w:rStyle w:val="47"/>
          <w:rFonts w:hint="eastAsia" w:ascii="宋体" w:hAnsi="宋体" w:eastAsia="宋体" w:cs="宋体"/>
          <w:b/>
          <w:color w:val="000000" w:themeColor="text1"/>
          <w:sz w:val="44"/>
          <w14:textFill>
            <w14:solidFill>
              <w14:schemeClr w14:val="tx1"/>
            </w14:solidFill>
          </w14:textFill>
        </w:rPr>
        <w:t>第四章 项目需求</w:t>
      </w:r>
      <w:bookmarkEnd w:id="5"/>
    </w:p>
    <w:p>
      <w:pPr>
        <w:adjustRightInd w:val="0"/>
        <w:snapToGrid w:val="0"/>
        <w:spacing w:line="360" w:lineRule="auto"/>
        <w:ind w:firstLine="482" w:firstLineChars="200"/>
        <w:rPr>
          <w:rFonts w:ascii="宋体" w:hAnsi="宋体" w:cs="宋体"/>
          <w:b/>
          <w:bCs/>
          <w:color w:val="000000" w:themeColor="text1"/>
          <w:sz w:val="24"/>
          <w:szCs w:val="24"/>
          <w14:textFill>
            <w14:solidFill>
              <w14:schemeClr w14:val="tx1"/>
            </w14:solidFill>
          </w14:textFill>
        </w:rPr>
      </w:pPr>
      <w:bookmarkStart w:id="6" w:name="_Toc32259"/>
    </w:p>
    <w:p>
      <w:pPr>
        <w:pStyle w:val="19"/>
        <w:spacing w:before="0" w:beforeAutospacing="0" w:after="0" w:afterAutospacing="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一、项目用途、预期效果或要求</w:t>
      </w:r>
    </w:p>
    <w:p>
      <w:pPr>
        <w:pStyle w:val="19"/>
        <w:spacing w:before="0" w:beforeAutospacing="0" w:after="0" w:afterAutospacing="0"/>
        <w:ind w:firstLine="480" w:firstLineChars="200"/>
        <w:rPr>
          <w:bCs/>
          <w:color w:val="000000" w:themeColor="text1"/>
          <w:szCs w:val="28"/>
          <w14:textFill>
            <w14:solidFill>
              <w14:schemeClr w14:val="tx1"/>
            </w14:solidFill>
          </w14:textFill>
        </w:rPr>
      </w:pPr>
      <w:r>
        <w:rPr>
          <w:rFonts w:hint="eastAsia"/>
          <w:bCs/>
          <w:color w:val="000000" w:themeColor="text1"/>
          <w:szCs w:val="28"/>
          <w14:textFill>
            <w14:solidFill>
              <w14:schemeClr w14:val="tx1"/>
            </w14:solidFill>
          </w14:textFill>
        </w:rPr>
        <w:t>纺纱智能制造中心可实现全流程、全工序设备的虚拟运行，并将具备联网条件的纺纱设备纳入系统进行管理，实现设备的虚拟运行和设备状态虚拟展示，满足教学上企业顶岗实习及专业认知的需要。</w:t>
      </w:r>
    </w:p>
    <w:p>
      <w:pPr>
        <w:pStyle w:val="19"/>
        <w:spacing w:before="0" w:beforeAutospacing="0" w:after="0" w:afterAutospacing="0"/>
        <w:ind w:firstLine="480" w:firstLineChars="200"/>
        <w:rPr>
          <w:bCs/>
          <w:color w:val="000000" w:themeColor="text1"/>
          <w:szCs w:val="28"/>
          <w14:textFill>
            <w14:solidFill>
              <w14:schemeClr w14:val="tx1"/>
            </w14:solidFill>
          </w14:textFill>
        </w:rPr>
      </w:pPr>
      <w:r>
        <w:rPr>
          <w:rFonts w:hint="eastAsia"/>
          <w:bCs/>
          <w:color w:val="000000" w:themeColor="text1"/>
          <w:szCs w:val="28"/>
          <w14:textFill>
            <w14:solidFill>
              <w14:schemeClr w14:val="tx1"/>
            </w14:solidFill>
          </w14:textFill>
        </w:rPr>
        <w:t>纺纱智能制造中心主要包括以下五大模块。</w:t>
      </w:r>
    </w:p>
    <w:p>
      <w:pPr>
        <w:pStyle w:val="19"/>
        <w:spacing w:before="0" w:beforeAutospacing="0" w:after="0" w:afterAutospacing="0"/>
        <w:ind w:firstLine="480" w:firstLineChars="200"/>
        <w:rPr>
          <w:bCs/>
          <w:color w:val="000000" w:themeColor="text1"/>
          <w:szCs w:val="28"/>
          <w14:textFill>
            <w14:solidFill>
              <w14:schemeClr w14:val="tx1"/>
            </w14:solidFill>
          </w14:textFill>
        </w:rPr>
      </w:pPr>
      <w:r>
        <w:rPr>
          <w:rFonts w:hint="eastAsia"/>
          <w:bCs/>
          <w:color w:val="000000" w:themeColor="text1"/>
          <w:szCs w:val="28"/>
          <w14:textFill>
            <w14:solidFill>
              <w14:schemeClr w14:val="tx1"/>
            </w14:solidFill>
          </w14:textFill>
        </w:rPr>
        <w:t>1、纺纱实训中心现有设备改造与联网/新购设备；</w:t>
      </w:r>
    </w:p>
    <w:p>
      <w:pPr>
        <w:pStyle w:val="19"/>
        <w:spacing w:before="0" w:beforeAutospacing="0" w:after="0" w:afterAutospacing="0"/>
        <w:ind w:firstLine="480" w:firstLineChars="200"/>
        <w:rPr>
          <w:bCs/>
          <w:color w:val="000000" w:themeColor="text1"/>
          <w:szCs w:val="28"/>
          <w14:textFill>
            <w14:solidFill>
              <w14:schemeClr w14:val="tx1"/>
            </w14:solidFill>
          </w14:textFill>
        </w:rPr>
      </w:pPr>
      <w:r>
        <w:rPr>
          <w:rFonts w:hint="eastAsia"/>
          <w:bCs/>
          <w:color w:val="000000" w:themeColor="text1"/>
          <w:szCs w:val="28"/>
          <w14:textFill>
            <w14:solidFill>
              <w14:schemeClr w14:val="tx1"/>
            </w14:solidFill>
          </w14:textFill>
        </w:rPr>
        <w:t>2、虚拟制造中心构建及模拟运行；</w:t>
      </w:r>
    </w:p>
    <w:p>
      <w:pPr>
        <w:pStyle w:val="19"/>
        <w:spacing w:before="0" w:beforeAutospacing="0" w:after="0" w:afterAutospacing="0"/>
        <w:ind w:firstLine="480" w:firstLineChars="200"/>
        <w:rPr>
          <w:bCs/>
          <w:color w:val="000000" w:themeColor="text1"/>
          <w:szCs w:val="28"/>
          <w14:textFill>
            <w14:solidFill>
              <w14:schemeClr w14:val="tx1"/>
            </w14:solidFill>
          </w14:textFill>
        </w:rPr>
      </w:pPr>
      <w:r>
        <w:rPr>
          <w:rFonts w:hint="eastAsia"/>
          <w:bCs/>
          <w:color w:val="000000" w:themeColor="text1"/>
          <w:szCs w:val="28"/>
          <w14:textFill>
            <w14:solidFill>
              <w14:schemeClr w14:val="tx1"/>
            </w14:solidFill>
          </w14:textFill>
        </w:rPr>
        <w:t>3、设备在线监控模拟系统；</w:t>
      </w:r>
    </w:p>
    <w:p>
      <w:pPr>
        <w:pStyle w:val="19"/>
        <w:spacing w:before="0" w:beforeAutospacing="0" w:after="0" w:afterAutospacing="0"/>
        <w:ind w:firstLine="480" w:firstLineChars="200"/>
        <w:rPr>
          <w:bCs/>
          <w:color w:val="000000" w:themeColor="text1"/>
          <w:szCs w:val="28"/>
          <w14:textFill>
            <w14:solidFill>
              <w14:schemeClr w14:val="tx1"/>
            </w14:solidFill>
          </w14:textFill>
        </w:rPr>
      </w:pPr>
      <w:r>
        <w:rPr>
          <w:rFonts w:hint="eastAsia"/>
          <w:bCs/>
          <w:color w:val="000000" w:themeColor="text1"/>
          <w:szCs w:val="28"/>
          <w14:textFill>
            <w14:solidFill>
              <w14:schemeClr w14:val="tx1"/>
            </w14:solidFill>
          </w14:textFill>
        </w:rPr>
        <w:t>4、车间看板系统；</w:t>
      </w:r>
    </w:p>
    <w:p>
      <w:pPr>
        <w:pStyle w:val="19"/>
        <w:spacing w:before="0" w:beforeAutospacing="0" w:after="0" w:afterAutospacing="0"/>
        <w:ind w:firstLine="480" w:firstLineChars="200"/>
        <w:rPr>
          <w:color w:val="000000" w:themeColor="text1"/>
          <w:sz w:val="28"/>
          <w:szCs w:val="28"/>
          <w14:textFill>
            <w14:solidFill>
              <w14:schemeClr w14:val="tx1"/>
            </w14:solidFill>
          </w14:textFill>
        </w:rPr>
      </w:pPr>
      <w:r>
        <w:rPr>
          <w:rFonts w:hint="eastAsia"/>
          <w:bCs/>
          <w:color w:val="000000" w:themeColor="text1"/>
          <w:szCs w:val="28"/>
          <w14:textFill>
            <w14:solidFill>
              <w14:schemeClr w14:val="tx1"/>
            </w14:solidFill>
          </w14:textFill>
        </w:rPr>
        <w:t>5、智能驾驶舱系统。</w:t>
      </w:r>
    </w:p>
    <w:p>
      <w:pPr>
        <w:pStyle w:val="19"/>
        <w:spacing w:before="0" w:beforeAutospacing="0" w:after="0" w:afterAutospacing="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二、项目内容</w:t>
      </w:r>
    </w:p>
    <w:p>
      <w:pPr>
        <w:spacing w:line="276" w:lineRule="auto"/>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（一）纺纱实训中心现有设备技术改造与联网/新购设备</w:t>
      </w:r>
    </w:p>
    <w:p>
      <w:pPr>
        <w:spacing w:line="276" w:lineRule="auto"/>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将现有纺纱实训中心具备联网条件的设备进行技术改造，实现数据联网，实现数据的在线监测。需要技术改造实现联网的设备如表1所示。</w:t>
      </w:r>
    </w:p>
    <w:p>
      <w:pPr>
        <w:spacing w:line="276" w:lineRule="auto"/>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注明：为更好实现已有设备联网及信息获取，需要对部分设备开展硬件及程序升级。设备升级改造及联网配合的费用包含在本项目本次招标中，由投标方负责完成设备升级改造相关工作。</w:t>
      </w:r>
    </w:p>
    <w:p>
      <w:pPr>
        <w:spacing w:line="276"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表1 拟联网的设备及数量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719"/>
        <w:gridCol w:w="2939"/>
        <w:gridCol w:w="1546"/>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工序</w:t>
            </w:r>
          </w:p>
        </w:tc>
        <w:tc>
          <w:tcPr>
            <w:tcW w:w="1719"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设备名称</w:t>
            </w:r>
          </w:p>
        </w:tc>
        <w:tc>
          <w:tcPr>
            <w:tcW w:w="2939"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生产厂家</w:t>
            </w:r>
          </w:p>
        </w:tc>
        <w:tc>
          <w:tcPr>
            <w:tcW w:w="1546" w:type="dxa"/>
          </w:tcPr>
          <w:p>
            <w:pPr>
              <w:widowControl w:val="0"/>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型号规格</w:t>
            </w:r>
          </w:p>
        </w:tc>
        <w:tc>
          <w:tcPr>
            <w:tcW w:w="1114" w:type="dxa"/>
          </w:tcPr>
          <w:p>
            <w:pPr>
              <w:widowControl w:val="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机台数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梳棉</w:t>
            </w:r>
          </w:p>
        </w:tc>
        <w:tc>
          <w:tcPr>
            <w:tcW w:w="1719" w:type="dxa"/>
            <w:vAlign w:val="center"/>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梳棉机</w:t>
            </w:r>
          </w:p>
        </w:tc>
        <w:tc>
          <w:tcPr>
            <w:tcW w:w="2939"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经纬纺机</w:t>
            </w:r>
          </w:p>
        </w:tc>
        <w:tc>
          <w:tcPr>
            <w:tcW w:w="1546"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FA201B</w:t>
            </w:r>
          </w:p>
        </w:tc>
        <w:tc>
          <w:tcPr>
            <w:tcW w:w="1114" w:type="dxa"/>
          </w:tcPr>
          <w:p>
            <w:pPr>
              <w:widowControl w:val="0"/>
              <w:ind w:firstLine="42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并条</w:t>
            </w:r>
          </w:p>
        </w:tc>
        <w:tc>
          <w:tcPr>
            <w:tcW w:w="1719" w:type="dxa"/>
            <w:vAlign w:val="center"/>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并条机</w:t>
            </w:r>
          </w:p>
        </w:tc>
        <w:tc>
          <w:tcPr>
            <w:tcW w:w="2939"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经纬纺机</w:t>
            </w:r>
          </w:p>
        </w:tc>
        <w:tc>
          <w:tcPr>
            <w:tcW w:w="1546"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FA306</w:t>
            </w:r>
          </w:p>
        </w:tc>
        <w:tc>
          <w:tcPr>
            <w:tcW w:w="1114" w:type="dxa"/>
          </w:tcPr>
          <w:p>
            <w:pPr>
              <w:widowControl w:val="0"/>
              <w:ind w:firstLine="42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粗纱</w:t>
            </w:r>
          </w:p>
        </w:tc>
        <w:tc>
          <w:tcPr>
            <w:tcW w:w="1719" w:type="dxa"/>
            <w:vAlign w:val="center"/>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粗纱机</w:t>
            </w:r>
          </w:p>
        </w:tc>
        <w:tc>
          <w:tcPr>
            <w:tcW w:w="2939"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天津宏大纺机</w:t>
            </w:r>
          </w:p>
        </w:tc>
        <w:tc>
          <w:tcPr>
            <w:tcW w:w="1546"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FA458A</w:t>
            </w:r>
          </w:p>
        </w:tc>
        <w:tc>
          <w:tcPr>
            <w:tcW w:w="1114" w:type="dxa"/>
          </w:tcPr>
          <w:p>
            <w:pPr>
              <w:widowControl w:val="0"/>
              <w:ind w:firstLine="420"/>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5"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细纱</w:t>
            </w:r>
          </w:p>
        </w:tc>
        <w:tc>
          <w:tcPr>
            <w:tcW w:w="1719" w:type="dxa"/>
            <w:vAlign w:val="center"/>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细纱机</w:t>
            </w:r>
          </w:p>
        </w:tc>
        <w:tc>
          <w:tcPr>
            <w:tcW w:w="2939"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马佐里（东台）纺机</w:t>
            </w:r>
          </w:p>
        </w:tc>
        <w:tc>
          <w:tcPr>
            <w:tcW w:w="1546" w:type="dxa"/>
          </w:tcPr>
          <w:p>
            <w:pPr>
              <w:widowControl w:val="0"/>
              <w:ind w:firstLine="420"/>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FA207B</w:t>
            </w:r>
          </w:p>
        </w:tc>
        <w:tc>
          <w:tcPr>
            <w:tcW w:w="1114" w:type="dxa"/>
          </w:tcPr>
          <w:p>
            <w:pPr>
              <w:widowControl w:val="0"/>
              <w:ind w:firstLine="420"/>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r>
    </w:tbl>
    <w:p>
      <w:pPr>
        <w:ind w:firstLine="42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为实现智能制造中心的相关功能，需增配相关的硬件设备，智能制造中心建设拟增加设备如表2所示。</w:t>
      </w:r>
    </w:p>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注明：智能制造中心本系统设备联网所需通信线缆（以太网网络线缆、专用的联网线材）均由投标方采购。</w:t>
      </w:r>
    </w:p>
    <w:p>
      <w:pPr>
        <w:ind w:left="432"/>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表2 智能制造中心建设拟增加硬件清单</w:t>
      </w:r>
    </w:p>
    <w:tbl>
      <w:tblPr>
        <w:tblStyle w:val="22"/>
        <w:tblW w:w="51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506"/>
        <w:gridCol w:w="4697"/>
        <w:gridCol w:w="1232"/>
        <w:gridCol w:w="655"/>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000000" w:fill="FFFFFF" w:themeFill="background1"/>
            <w:vAlign w:val="center"/>
          </w:tcPr>
          <w:p>
            <w:pPr>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NO.</w:t>
            </w:r>
          </w:p>
        </w:tc>
        <w:tc>
          <w:tcPr>
            <w:tcW w:w="798" w:type="pct"/>
            <w:tcBorders>
              <w:tl2br w:val="nil"/>
              <w:tr2bl w:val="nil"/>
            </w:tcBorders>
            <w:shd w:val="clear" w:color="000000" w:fill="FFFFFF" w:themeFill="background1"/>
            <w:vAlign w:val="center"/>
          </w:tcPr>
          <w:p>
            <w:pPr>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型号</w:t>
            </w:r>
          </w:p>
        </w:tc>
        <w:tc>
          <w:tcPr>
            <w:tcW w:w="2488" w:type="pct"/>
            <w:tcBorders>
              <w:tl2br w:val="nil"/>
              <w:tr2bl w:val="nil"/>
            </w:tcBorders>
            <w:shd w:val="clear" w:color="000000" w:fill="FFFFFF" w:themeFill="background1"/>
            <w:vAlign w:val="center"/>
          </w:tcPr>
          <w:p>
            <w:pPr>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配置参数</w:t>
            </w:r>
          </w:p>
        </w:tc>
        <w:tc>
          <w:tcPr>
            <w:tcW w:w="653" w:type="pct"/>
            <w:tcBorders>
              <w:tl2br w:val="nil"/>
              <w:tr2bl w:val="nil"/>
            </w:tcBorders>
            <w:shd w:val="clear" w:color="000000" w:fill="FFFFFF" w:themeFill="background1"/>
            <w:vAlign w:val="center"/>
          </w:tcPr>
          <w:p>
            <w:pPr>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品牌</w:t>
            </w:r>
          </w:p>
        </w:tc>
        <w:tc>
          <w:tcPr>
            <w:tcW w:w="347" w:type="pct"/>
            <w:tcBorders>
              <w:tl2br w:val="nil"/>
              <w:tr2bl w:val="nil"/>
            </w:tcBorders>
            <w:shd w:val="clear" w:color="000000" w:fill="FFFFFF" w:themeFill="background1"/>
            <w:vAlign w:val="center"/>
          </w:tcPr>
          <w:p>
            <w:pPr>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单位</w:t>
            </w:r>
          </w:p>
        </w:tc>
        <w:tc>
          <w:tcPr>
            <w:tcW w:w="411" w:type="pct"/>
            <w:tcBorders>
              <w:tl2br w:val="nil"/>
              <w:tr2bl w:val="nil"/>
            </w:tcBorders>
            <w:shd w:val="clear" w:color="000000" w:fill="FFFFFF" w:themeFill="background1"/>
            <w:vAlign w:val="center"/>
          </w:tcPr>
          <w:p>
            <w:pPr>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核心交换机</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MS4320S-28P</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交换容量：336Gbps</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包转发率：144Mpps</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24个100/1000BASE-X</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端口，8个10/100/1000BASE-T Combo 口，4个1000 BASE-X SFP端口，含电源；</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H3C或知名品牌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AP</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G</w:t>
            </w:r>
            <w:r>
              <w:rPr>
                <w:rFonts w:ascii="宋体" w:hAnsi="宋体" w:cs="宋体"/>
                <w:color w:val="000000" w:themeColor="text1"/>
                <w:kern w:val="0"/>
                <w14:textFill>
                  <w14:solidFill>
                    <w14:schemeClr w14:val="tx1"/>
                  </w14:solidFill>
                </w14:textFill>
              </w:rPr>
              <w:t>/5G</w:t>
            </w:r>
            <w:r>
              <w:rPr>
                <w:rFonts w:hint="eastAsia" w:ascii="宋体" w:hAnsi="宋体" w:cs="宋体"/>
                <w:color w:val="000000" w:themeColor="text1"/>
                <w:kern w:val="0"/>
                <w14:textFill>
                  <w14:solidFill>
                    <w14:schemeClr w14:val="tx1"/>
                  </w14:solidFill>
                </w14:textFill>
              </w:rPr>
              <w:t>双频，3</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个端，8</w:t>
            </w:r>
            <w:r>
              <w:rPr>
                <w:rFonts w:ascii="宋体" w:hAnsi="宋体" w:cs="宋体"/>
                <w:color w:val="000000" w:themeColor="text1"/>
                <w:kern w:val="0"/>
                <w14:textFill>
                  <w14:solidFill>
                    <w14:schemeClr w14:val="tx1"/>
                  </w14:solidFill>
                </w14:textFill>
              </w:rPr>
              <w:t>02.11</w:t>
            </w:r>
            <w:r>
              <w:rPr>
                <w:rFonts w:hint="eastAsia" w:ascii="宋体" w:hAnsi="宋体" w:cs="宋体"/>
                <w:color w:val="000000" w:themeColor="text1"/>
                <w:kern w:val="0"/>
                <w14:textFill>
                  <w14:solidFill>
                    <w14:schemeClr w14:val="tx1"/>
                  </w14:solidFill>
                </w14:textFill>
              </w:rPr>
              <w:t>a/b</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g</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n</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ac</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ax</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锐捷或知名品牌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无线接入点</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RS</w:t>
            </w:r>
            <w:r>
              <w:rPr>
                <w:rFonts w:ascii="宋体" w:hAnsi="宋体" w:cs="宋体"/>
                <w:color w:val="000000" w:themeColor="text1"/>
                <w:kern w:val="0"/>
                <w14:textFill>
                  <w14:solidFill>
                    <w14:schemeClr w14:val="tx1"/>
                  </w14:solidFill>
                </w14:textFill>
              </w:rPr>
              <w:t>232/</w:t>
            </w:r>
            <w:r>
              <w:rPr>
                <w:rFonts w:hint="eastAsia" w:ascii="宋体" w:hAnsi="宋体" w:cs="宋体"/>
                <w:color w:val="000000" w:themeColor="text1"/>
                <w:kern w:val="0"/>
                <w14:textFill>
                  <w14:solidFill>
                    <w14:schemeClr w14:val="tx1"/>
                  </w14:solidFill>
                </w14:textFill>
              </w:rPr>
              <w:t>485转单网口WIFI转换器</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电子看板</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80寸LCD显示器</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海信或知名品牌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看板解码器</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UNO-2271G 4核CPU，4G，32GSSD，HDMI</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研华或知名品牌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触摸式一体机</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4核CPU,4G,64G,21.5寸，工业无风扇全密闭一体式</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国产名牌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边缘计算器</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I5，8G，1T工业计算机</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个</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温湿度传感器</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SOC2-TH-210</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伟拓或知名品牌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9</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智能电表AMC16</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智能三相12路电表</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安科瑞或知名品牌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10</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电流互感器</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AKH-0.66-W-20 100/20mA</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安科瑞或知名品牌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个</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1</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采集网关</w:t>
            </w:r>
          </w:p>
        </w:tc>
        <w:tc>
          <w:tcPr>
            <w:tcW w:w="2488" w:type="pct"/>
            <w:tcBorders>
              <w:tl2br w:val="nil"/>
              <w:tr2bl w:val="nil"/>
            </w:tcBorders>
            <w:shd w:val="clear" w:color="auto" w:fill="auto"/>
            <w:vAlign w:val="center"/>
          </w:tcPr>
          <w:p>
            <w:pPr>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协议转发装置TIS-GA</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国产品牌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411" w:type="pct"/>
            <w:tcBorders>
              <w:tl2br w:val="nil"/>
              <w:tr2bl w:val="nil"/>
            </w:tcBorders>
            <w:shd w:val="clear" w:color="000000" w:fill="FFFFFF"/>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2</w:t>
            </w:r>
          </w:p>
        </w:tc>
        <w:tc>
          <w:tcPr>
            <w:tcW w:w="798"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辅材</w:t>
            </w:r>
          </w:p>
        </w:tc>
        <w:tc>
          <w:tcPr>
            <w:tcW w:w="2488" w:type="pct"/>
            <w:tcBorders>
              <w:tl2br w:val="nil"/>
              <w:tr2bl w:val="nil"/>
            </w:tcBorders>
            <w:shd w:val="clear" w:color="auto" w:fill="auto"/>
            <w:vAlign w:val="center"/>
          </w:tcPr>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CAT6、线缆、辅材等线缆辅材</w:t>
            </w:r>
          </w:p>
        </w:tc>
        <w:tc>
          <w:tcPr>
            <w:tcW w:w="653"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国产品牌</w:t>
            </w:r>
          </w:p>
        </w:tc>
        <w:tc>
          <w:tcPr>
            <w:tcW w:w="347"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批</w:t>
            </w:r>
          </w:p>
        </w:tc>
        <w:tc>
          <w:tcPr>
            <w:tcW w:w="411" w:type="pct"/>
            <w:tcBorders>
              <w:tl2br w:val="nil"/>
              <w:tr2bl w:val="nil"/>
            </w:tcBorders>
            <w:shd w:val="clear" w:color="auto" w:fill="auto"/>
            <w:vAlign w:val="center"/>
          </w:tcPr>
          <w:p>
            <w:pPr>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r>
    </w:tbl>
    <w:p>
      <w:pPr>
        <w:pStyle w:val="3"/>
        <w:tabs>
          <w:tab w:val="left" w:pos="432"/>
        </w:tabs>
        <w:spacing w:line="360" w:lineRule="auto"/>
        <w:jc w:val="both"/>
        <w:rPr>
          <w:rFonts w:hint="default" w:cs="宋体"/>
          <w:color w:val="000000" w:themeColor="text1"/>
          <w:sz w:val="24"/>
          <w:szCs w:val="24"/>
          <w14:textFill>
            <w14:solidFill>
              <w14:schemeClr w14:val="tx1"/>
            </w14:solidFill>
          </w14:textFill>
        </w:rPr>
      </w:pPr>
      <w:r>
        <w:rPr>
          <w:rFonts w:cs="宋体"/>
          <w:b w:val="0"/>
          <w:color w:val="000000" w:themeColor="text1"/>
          <w:kern w:val="0"/>
          <w:sz w:val="24"/>
          <w:szCs w:val="28"/>
          <w14:textFill>
            <w14:solidFill>
              <w14:schemeClr w14:val="tx1"/>
            </w14:solidFill>
          </w14:textFill>
        </w:rPr>
        <w:t>(二)虚拟制造中心构建及模拟运行</w:t>
      </w:r>
    </w:p>
    <w:p>
      <w:pPr>
        <w:spacing w:line="360" w:lineRule="auto"/>
        <w:ind w:firstLine="42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系统中搭建数据模拟系统，结合已经实现数据联网的实验中心设备，构建纺纱虚拟制造中心。结合现场的设备数量情况与教学需求，在各个生产工序模拟不同数量的生产设备，并结合实际生产状况，开发运行参数模拟运行功能，实现数据的自动模拟及设备的虚拟运行，为模拟生产教学提供支持。</w:t>
      </w:r>
    </w:p>
    <w:p>
      <w:pPr>
        <w:spacing w:line="360" w:lineRule="auto"/>
        <w:ind w:firstLine="484" w:firstLineChars="202"/>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构建</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个纯棉纱纺纱工厂，实现设备的虚拟运行和管理，主要用于纺织企业认知、纺织生产管理以及工艺管理。</w:t>
      </w:r>
    </w:p>
    <w:p>
      <w:pPr>
        <w:spacing w:line="360" w:lineRule="auto"/>
        <w:ind w:firstLine="484" w:firstLineChars="202"/>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纯棉纱纺纱工厂设备虚拟配置如下：</w:t>
      </w:r>
      <w:bookmarkStart w:id="7" w:name="_Hlk50215599"/>
      <w:r>
        <w:rPr>
          <w:rFonts w:hint="eastAsia" w:ascii="宋体" w:hAnsi="宋体" w:cs="宋体"/>
          <w:color w:val="000000" w:themeColor="text1"/>
          <w:sz w:val="24"/>
          <w:szCs w:val="24"/>
          <w14:textFill>
            <w14:solidFill>
              <w14:schemeClr w14:val="tx1"/>
            </w14:solidFill>
          </w14:textFill>
        </w:rPr>
        <w:t>清梳联2套（每套配10台梳棉机）、精梳1套（配1台预并条机、1台条并卷机、5台精梳机）、并条12台（6套）、粗纱机6台，细络联30台（细纱机1200锭，络筒机24锭）</w:t>
      </w:r>
      <w:bookmarkEnd w:id="7"/>
      <w:r>
        <w:rPr>
          <w:rFonts w:hint="eastAsia" w:ascii="宋体" w:hAnsi="宋体" w:cs="宋体"/>
          <w:color w:val="000000" w:themeColor="text1"/>
          <w:sz w:val="24"/>
          <w:szCs w:val="24"/>
          <w14:textFill>
            <w14:solidFill>
              <w14:schemeClr w14:val="tx1"/>
            </w14:solidFill>
          </w14:textFill>
        </w:rPr>
        <w:t>。在工厂创设中，可以根据学校已有的设备，立足这些设备进行扩充和设计，形成一个纺纱工厂。</w:t>
      </w:r>
    </w:p>
    <w:p>
      <w:pPr>
        <w:pStyle w:val="3"/>
        <w:tabs>
          <w:tab w:val="left" w:pos="432"/>
        </w:tabs>
        <w:spacing w:line="360" w:lineRule="auto"/>
        <w:jc w:val="both"/>
        <w:rPr>
          <w:rFonts w:hint="default" w:cs="宋体"/>
          <w:b w:val="0"/>
          <w:color w:val="000000" w:themeColor="text1"/>
          <w:kern w:val="0"/>
          <w:sz w:val="24"/>
          <w:szCs w:val="28"/>
          <w14:textFill>
            <w14:solidFill>
              <w14:schemeClr w14:val="tx1"/>
            </w14:solidFill>
          </w14:textFill>
        </w:rPr>
      </w:pPr>
      <w:r>
        <w:rPr>
          <w:rFonts w:cs="宋体"/>
          <w:b w:val="0"/>
          <w:color w:val="000000" w:themeColor="text1"/>
          <w:kern w:val="0"/>
          <w:sz w:val="24"/>
          <w:szCs w:val="28"/>
          <w14:textFill>
            <w14:solidFill>
              <w14:schemeClr w14:val="tx1"/>
            </w14:solidFill>
          </w14:textFill>
        </w:rPr>
        <w:t>（三）设备在线监控模拟系统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实现对虚拟工厂设备的实时在线监测，包括实验中心的联网设备，实时读取设备运行参数，实现园区、车间的3D展示，设备数据的实时展示，从而实现生产状态的在线监控。通过浏览工业园模型，不仅可以了解纺织工业园的厂区建设、车间内的设备配比等，还可以在了解设备相关的运行参数、工艺数据等，在此基础上实现数据的预警和报警功能。</w:t>
      </w:r>
    </w:p>
    <w:p>
      <w:pPr>
        <w:ind w:left="43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具体功能要求如表3。</w:t>
      </w:r>
    </w:p>
    <w:p>
      <w:pPr>
        <w:ind w:left="432"/>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表</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 xml:space="preserve"> 在线监测模拟系统功能列表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288"/>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Pr>
          <w:p>
            <w:pPr>
              <w:spacing w:line="360" w:lineRule="auto"/>
              <w:jc w:val="center"/>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序号</w:t>
            </w:r>
          </w:p>
        </w:tc>
        <w:tc>
          <w:tcPr>
            <w:tcW w:w="1248" w:type="pct"/>
            <w:noWrap/>
            <w:vAlign w:val="center"/>
          </w:tcPr>
          <w:p>
            <w:pPr>
              <w:spacing w:line="360" w:lineRule="auto"/>
              <w:jc w:val="center"/>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模块</w:t>
            </w:r>
          </w:p>
        </w:tc>
        <w:tc>
          <w:tcPr>
            <w:tcW w:w="3131" w:type="pct"/>
            <w:vAlign w:val="center"/>
          </w:tcPr>
          <w:p>
            <w:pPr>
              <w:spacing w:line="360" w:lineRule="auto"/>
              <w:jc w:val="center"/>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248" w:type="pct"/>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实时状态</w:t>
            </w:r>
          </w:p>
        </w:tc>
        <w:tc>
          <w:tcPr>
            <w:tcW w:w="3131" w:type="pct"/>
            <w:vAlign w:val="center"/>
          </w:tcPr>
          <w:p>
            <w:pPr>
              <w:spacing w:line="360"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从电脑端即可查看设备运行状态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248" w:type="pct"/>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实时开台</w:t>
            </w:r>
          </w:p>
        </w:tc>
        <w:tc>
          <w:tcPr>
            <w:tcW w:w="3131" w:type="pct"/>
            <w:vAlign w:val="center"/>
          </w:tcPr>
          <w:p>
            <w:pPr>
              <w:spacing w:line="360"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各工序设备当班的开台数量、开台率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248" w:type="pct"/>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实时数据</w:t>
            </w:r>
          </w:p>
        </w:tc>
        <w:tc>
          <w:tcPr>
            <w:tcW w:w="3131" w:type="pct"/>
            <w:vAlign w:val="center"/>
          </w:tcPr>
          <w:p>
            <w:pPr>
              <w:spacing w:line="360"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设备当前的运行数据如速度、效率、产量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 xml:space="preserve"> </w:t>
            </w:r>
          </w:p>
        </w:tc>
        <w:tc>
          <w:tcPr>
            <w:tcW w:w="1248" w:type="pct"/>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实时趋势图</w:t>
            </w:r>
          </w:p>
        </w:tc>
        <w:tc>
          <w:tcPr>
            <w:tcW w:w="3131" w:type="pct"/>
            <w:vAlign w:val="center"/>
          </w:tcPr>
          <w:p>
            <w:pPr>
              <w:spacing w:line="360"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设备数据的变化曲线图，便于问题的追溯管理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能源实时数据</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关键电表的实时数据展示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温湿度实时数据</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温湿度实时数据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温湿度曲线</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温湿度历史曲线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设备故障报警</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对设备的故障进行报警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9</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低效机台报警</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对低效机台进行报警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0</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环境异常报警</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环境超出正常范围报警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2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1</w:t>
            </w:r>
          </w:p>
        </w:tc>
        <w:tc>
          <w:tcPr>
            <w:tcW w:w="1248" w:type="pc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能源异常报警</w:t>
            </w:r>
          </w:p>
        </w:tc>
        <w:tc>
          <w:tcPr>
            <w:tcW w:w="313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能源超出机台正常范围报警</w:t>
            </w:r>
          </w:p>
        </w:tc>
      </w:tr>
    </w:tbl>
    <w:p>
      <w:pPr>
        <w:pStyle w:val="3"/>
        <w:tabs>
          <w:tab w:val="left" w:pos="432"/>
        </w:tabs>
        <w:spacing w:line="360" w:lineRule="auto"/>
        <w:jc w:val="both"/>
        <w:rPr>
          <w:rFonts w:hint="default" w:cs="宋体"/>
          <w:b w:val="0"/>
          <w:color w:val="000000" w:themeColor="text1"/>
          <w:kern w:val="0"/>
          <w:sz w:val="24"/>
          <w:szCs w:val="28"/>
          <w14:textFill>
            <w14:solidFill>
              <w14:schemeClr w14:val="tx1"/>
            </w14:solidFill>
          </w14:textFill>
        </w:rPr>
      </w:pPr>
      <w:r>
        <w:rPr>
          <w:rFonts w:cs="宋体"/>
          <w:b w:val="0"/>
          <w:color w:val="000000" w:themeColor="text1"/>
          <w:kern w:val="0"/>
          <w:sz w:val="24"/>
          <w:szCs w:val="28"/>
          <w14:textFill>
            <w14:solidFill>
              <w14:schemeClr w14:val="tx1"/>
            </w14:solidFill>
          </w14:textFill>
        </w:rPr>
        <w:t>（四）车间看板展示系统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纺纱智能制造中心配置车间看板，车间看板实时展示推送相关生产指令及生产实况数据，模拟现代智能化生产车间管理模式。通过电子看板可直观的观看到各轮班累计产量和效率、当班各小组的产量效率信息、分析最近每天的细纱产能效率趋势。看板内容包括：车间通知公告，各工序单台产量、效率，车间低效机台，车间温湿度能源消耗等。</w:t>
      </w:r>
    </w:p>
    <w:p>
      <w:pPr>
        <w:pStyle w:val="3"/>
        <w:tabs>
          <w:tab w:val="left" w:pos="432"/>
        </w:tabs>
        <w:spacing w:line="360" w:lineRule="auto"/>
        <w:jc w:val="both"/>
        <w:rPr>
          <w:rFonts w:hint="default" w:cs="宋体"/>
          <w:b w:val="0"/>
          <w:color w:val="000000" w:themeColor="text1"/>
          <w:kern w:val="0"/>
          <w:sz w:val="24"/>
          <w:szCs w:val="28"/>
          <w14:textFill>
            <w14:solidFill>
              <w14:schemeClr w14:val="tx1"/>
            </w14:solidFill>
          </w14:textFill>
        </w:rPr>
      </w:pPr>
      <w:r>
        <w:rPr>
          <w:rFonts w:cs="宋体"/>
          <w:b w:val="0"/>
          <w:color w:val="000000" w:themeColor="text1"/>
          <w:kern w:val="0"/>
          <w:sz w:val="24"/>
          <w:szCs w:val="28"/>
          <w14:textFill>
            <w14:solidFill>
              <w14:schemeClr w14:val="tx1"/>
            </w14:solidFill>
          </w14:textFill>
        </w:rPr>
        <w:t>（五）智能驾驶舱系统</w:t>
      </w:r>
    </w:p>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应用智能制造中心已有的大屏系统，将生产相关数据进行汇集，将多维度数据多形式展示在智能驾驶舱中，为生产管理控制提供操作中心。</w:t>
      </w:r>
    </w:p>
    <w:p>
      <w:pPr>
        <w:pStyle w:val="19"/>
        <w:spacing w:before="0" w:beforeAutospacing="0" w:after="0" w:afterAutospacing="0"/>
        <w:rPr>
          <w:color w:val="000000" w:themeColor="text1"/>
          <w:kern w:val="2"/>
          <w:szCs w:val="24"/>
          <w14:textFill>
            <w14:solidFill>
              <w14:schemeClr w14:val="tx1"/>
            </w14:solidFill>
          </w14:textFill>
        </w:rPr>
      </w:pPr>
      <w:r>
        <w:rPr>
          <w:rFonts w:hint="eastAsia"/>
          <w:color w:val="000000" w:themeColor="text1"/>
          <w:kern w:val="2"/>
          <w:szCs w:val="24"/>
          <w14:textFill>
            <w14:solidFill>
              <w14:schemeClr w14:val="tx1"/>
            </w14:solidFill>
          </w14:textFill>
        </w:rPr>
        <w:t>五大模块至少需要具备的功能考核指标：</w:t>
      </w:r>
    </w:p>
    <w:tbl>
      <w:tblPr>
        <w:tblStyle w:val="23"/>
        <w:tblW w:w="83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80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序号</w:t>
            </w:r>
          </w:p>
        </w:tc>
        <w:tc>
          <w:tcPr>
            <w:tcW w:w="7061" w:type="dxa"/>
            <w:gridSpan w:val="2"/>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p>
        </w:tc>
        <w:tc>
          <w:tcPr>
            <w:tcW w:w="2808" w:type="dxa"/>
            <w:vMerge w:val="restart"/>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模块1现有设备技术改造与联网/新购设备</w:t>
            </w: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提供数据采集方案以及硬件设备与参数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2</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实现数据在线监测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3</w:t>
            </w:r>
          </w:p>
        </w:tc>
        <w:tc>
          <w:tcPr>
            <w:tcW w:w="2808" w:type="dxa"/>
            <w:vMerge w:val="restart"/>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模块2虚拟制造中心构建及模拟运行</w:t>
            </w: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数据自动模拟及设备虚拟运行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4</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构件棉纺纱工厂设备虚拟运行和管理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5</w:t>
            </w:r>
          </w:p>
        </w:tc>
        <w:tc>
          <w:tcPr>
            <w:tcW w:w="2808" w:type="dxa"/>
            <w:vMerge w:val="restart"/>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模块3设备在线监控模拟系统</w:t>
            </w: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中心联网设备监测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6</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实时读取设备运行参数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7</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实现车间3D展示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8</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设备数据的实时展示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9</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vAlign w:val="center"/>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实现数据预警和报警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0</w:t>
            </w:r>
          </w:p>
        </w:tc>
        <w:tc>
          <w:tcPr>
            <w:tcW w:w="2808" w:type="dxa"/>
            <w:vMerge w:val="restart"/>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模块4</w:t>
            </w:r>
            <w:r>
              <w:rPr>
                <w:color w:val="000000" w:themeColor="text1"/>
                <w:kern w:val="2"/>
                <w:sz w:val="21"/>
                <w14:textFill>
                  <w14:solidFill>
                    <w14:schemeClr w14:val="tx1"/>
                  </w14:solidFill>
                </w14:textFill>
              </w:rPr>
              <w:t xml:space="preserve"> </w:t>
            </w:r>
            <w:r>
              <w:rPr>
                <w:rFonts w:hint="eastAsia"/>
                <w:color w:val="000000" w:themeColor="text1"/>
                <w:kern w:val="2"/>
                <w:sz w:val="21"/>
                <w14:textFill>
                  <w14:solidFill>
                    <w14:schemeClr w14:val="tx1"/>
                  </w14:solidFill>
                </w14:textFill>
              </w:rPr>
              <w:t>车间看板展示系统</w:t>
            </w: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车间通知公告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1</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各工序单台产量、效率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2</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当班各小组的产量效率信息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3</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分析最近每天的细纱产能效率趋势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4</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车间低效机台显示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5</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车间温湿度显示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6</w:t>
            </w:r>
          </w:p>
        </w:tc>
        <w:tc>
          <w:tcPr>
            <w:tcW w:w="2808" w:type="dxa"/>
            <w:vMerge w:val="continue"/>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能源消耗显示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7</w:t>
            </w:r>
          </w:p>
        </w:tc>
        <w:tc>
          <w:tcPr>
            <w:tcW w:w="2808" w:type="dxa"/>
            <w:vMerge w:val="restart"/>
            <w:vAlign w:val="center"/>
          </w:tcPr>
          <w:p>
            <w:pPr>
              <w:pStyle w:val="19"/>
              <w:widowControl w:val="0"/>
              <w:spacing w:before="0" w:beforeAutospacing="0" w:after="0" w:afterAutospacing="0"/>
              <w:ind w:firstLine="420"/>
              <w:jc w:val="center"/>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模块5智能驾驶舱系统</w:t>
            </w: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多维度数据多形式展示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1</w:t>
            </w:r>
            <w:r>
              <w:rPr>
                <w:color w:val="000000" w:themeColor="text1"/>
                <w:kern w:val="2"/>
                <w:sz w:val="21"/>
                <w14:textFill>
                  <w14:solidFill>
                    <w14:schemeClr w14:val="tx1"/>
                  </w14:solidFill>
                </w14:textFill>
              </w:rPr>
              <w:t>8</w:t>
            </w:r>
          </w:p>
        </w:tc>
        <w:tc>
          <w:tcPr>
            <w:tcW w:w="2808" w:type="dxa"/>
            <w:vMerge w:val="continue"/>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p>
        </w:tc>
        <w:tc>
          <w:tcPr>
            <w:tcW w:w="4253" w:type="dxa"/>
          </w:tcPr>
          <w:p>
            <w:pPr>
              <w:pStyle w:val="19"/>
              <w:widowControl w:val="0"/>
              <w:spacing w:before="0" w:beforeAutospacing="0" w:after="0" w:afterAutospacing="0"/>
              <w:ind w:firstLine="420"/>
              <w:rPr>
                <w:color w:val="000000" w:themeColor="text1"/>
                <w:kern w:val="2"/>
                <w:sz w:val="21"/>
                <w14:textFill>
                  <w14:solidFill>
                    <w14:schemeClr w14:val="tx1"/>
                  </w14:solidFill>
                </w14:textFill>
              </w:rPr>
            </w:pPr>
            <w:r>
              <w:rPr>
                <w:rFonts w:hint="eastAsia"/>
                <w:color w:val="000000" w:themeColor="text1"/>
                <w:kern w:val="2"/>
                <w:sz w:val="21"/>
                <w14:textFill>
                  <w14:solidFill>
                    <w14:schemeClr w14:val="tx1"/>
                  </w14:solidFill>
                </w14:textFill>
              </w:rPr>
              <w:t>生产管理控制提供的操作中心展示</w:t>
            </w:r>
          </w:p>
        </w:tc>
      </w:tr>
    </w:tbl>
    <w:p>
      <w:pPr>
        <w:pStyle w:val="19"/>
        <w:spacing w:before="0" w:beforeAutospacing="0" w:after="0" w:afterAutospacing="0"/>
        <w:rPr>
          <w:b/>
          <w:bCs/>
          <w:color w:val="000000" w:themeColor="text1"/>
          <w:sz w:val="28"/>
          <w:szCs w:val="28"/>
          <w14:textFill>
            <w14:solidFill>
              <w14:schemeClr w14:val="tx1"/>
            </w14:solidFill>
          </w14:textFill>
        </w:rPr>
      </w:pPr>
    </w:p>
    <w:p>
      <w:pPr>
        <w:pStyle w:val="19"/>
        <w:spacing w:before="0" w:beforeAutospacing="0" w:after="0" w:afterAutospacing="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三、交货、验收条件</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（一）、交货及安装调试</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1.交货时间为签订合同之日起</w:t>
      </w:r>
      <w:r>
        <w:rPr>
          <w:rFonts w:hint="eastAsia" w:ascii="宋体" w:hAnsi="宋体" w:cs="宋体"/>
          <w:bCs/>
          <w:color w:val="000000" w:themeColor="text1"/>
          <w:kern w:val="0"/>
          <w:sz w:val="24"/>
          <w:szCs w:val="28"/>
          <w:lang w:val="en-US" w:eastAsia="zh-CN"/>
          <w14:textFill>
            <w14:solidFill>
              <w14:schemeClr w14:val="tx1"/>
            </w14:solidFill>
          </w14:textFill>
        </w:rPr>
        <w:t>30</w:t>
      </w:r>
      <w:r>
        <w:rPr>
          <w:rFonts w:hint="eastAsia" w:ascii="宋体" w:hAnsi="宋体" w:cs="宋体"/>
          <w:bCs/>
          <w:color w:val="000000" w:themeColor="text1"/>
          <w:kern w:val="0"/>
          <w:sz w:val="24"/>
          <w:szCs w:val="28"/>
          <w14:textFill>
            <w14:solidFill>
              <w14:schemeClr w14:val="tx1"/>
            </w14:solidFill>
          </w14:textFill>
        </w:rPr>
        <w:t>天内安装调试结束。</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2.所有标的货物须按合同指定地点、时间前安装调试合格并交付使用。</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3.供应商须负责进行设备安装调试服务并承担因此发生的一切费用。</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（二）、验收要求</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1.验收标准：供应商提供的货物必须符合我国最新颁布的与之相关的技术规范与标准，同时必须满足招标文件中所列规格、具体配置、技术条件及功能要求和供应商承诺的其它指标。</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2.货物到达采购方指定现场后，由采购方会同有关单位和人员根据供应商提供的项目设备清单，进行现场验收货。</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3.如现场不能维修解决的故障问题，须提供故障不能排除时的解决方案。</w:t>
      </w:r>
    </w:p>
    <w:p>
      <w:pPr>
        <w:ind w:right="21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三、售后服务及质保要求</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产品安装验收合格后，供应商免费为学院专业老师进行培训，提供“7*24小时”专门电话技术支持服务，在工作时间1小时内响应，在2小时内对使用单位所提出的维修要求做出实质性反应，并提供应急策略。如因软硬件故障而导致产品不能正常运行，且通过远程技术支持不能解决的，乙方应承诺48小时内上门解决或提供远程替代服务。</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免费质保期自验收合格之日起计算，本项目提供五年的免费质保及免费升级。</w:t>
      </w:r>
    </w:p>
    <w:p>
      <w:pPr>
        <w:ind w:right="210"/>
        <w:jc w:val="left"/>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四、项目具体要求</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1、投标费用包括乙方安装、调试、培训、质保期服务、各项税费、交通费、管理费及合同实施过程中不可预见费用等。</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2、货物名称内容必须与投标文件中货物名称内容一致。</w:t>
      </w:r>
    </w:p>
    <w:p>
      <w:pPr>
        <w:ind w:firstLine="480" w:firstLineChars="200"/>
        <w:rPr>
          <w:rFonts w:ascii="宋体" w:hAnsi="宋体" w:cs="宋体"/>
          <w:bCs/>
          <w:color w:val="000000" w:themeColor="text1"/>
          <w:kern w:val="0"/>
          <w:sz w:val="24"/>
          <w:szCs w:val="28"/>
          <w14:textFill>
            <w14:solidFill>
              <w14:schemeClr w14:val="tx1"/>
            </w14:solidFill>
          </w14:textFill>
        </w:rPr>
      </w:pPr>
      <w:r>
        <w:rPr>
          <w:rFonts w:hint="eastAsia" w:ascii="宋体" w:hAnsi="宋体" w:cs="宋体"/>
          <w:bCs/>
          <w:color w:val="000000" w:themeColor="text1"/>
          <w:kern w:val="0"/>
          <w:sz w:val="24"/>
          <w:szCs w:val="28"/>
          <w14:textFill>
            <w14:solidFill>
              <w14:schemeClr w14:val="tx1"/>
            </w14:solidFill>
          </w14:textFill>
        </w:rPr>
        <w:t>3、本项目需开具增值税专用发票。</w:t>
      </w:r>
    </w:p>
    <w:p>
      <w:pPr>
        <w:pStyle w:val="90"/>
        <w:spacing w:before="290" w:after="290"/>
        <w:jc w:val="center"/>
        <w:outlineLvl w:val="0"/>
        <w:rPr>
          <w:rStyle w:val="47"/>
          <w:rFonts w:cs="宋体"/>
          <w:color w:val="000000" w:themeColor="text1"/>
          <w14:textFill>
            <w14:solidFill>
              <w14:schemeClr w14:val="tx1"/>
            </w14:solidFill>
          </w14:textFill>
        </w:rPr>
      </w:pPr>
      <w:r>
        <w:rPr>
          <w:rStyle w:val="47"/>
          <w:rFonts w:hint="eastAsia" w:cs="宋体"/>
          <w:b/>
          <w:color w:val="000000" w:themeColor="text1"/>
          <w:sz w:val="44"/>
          <w14:textFill>
            <w14:solidFill>
              <w14:schemeClr w14:val="tx1"/>
            </w14:solidFill>
          </w14:textFill>
        </w:rPr>
        <w:t>第五章  评标方法与评标标准</w:t>
      </w:r>
      <w:bookmarkEnd w:id="6"/>
    </w:p>
    <w:p>
      <w:pPr>
        <w:snapToGrid w:val="0"/>
        <w:spacing w:line="500" w:lineRule="exact"/>
        <w:ind w:firstLine="482" w:firstLineChars="200"/>
        <w:rPr>
          <w:rStyle w:val="47"/>
          <w:rFonts w:ascii="宋体" w:hAnsi="宋体" w:cs="宋体"/>
          <w:b/>
          <w:bCs/>
          <w:color w:val="000000" w:themeColor="text1"/>
          <w:sz w:val="24"/>
          <w:szCs w:val="24"/>
          <w14:textFill>
            <w14:solidFill>
              <w14:schemeClr w14:val="tx1"/>
            </w14:solidFill>
          </w14:textFill>
        </w:rPr>
      </w:pPr>
      <w:r>
        <w:rPr>
          <w:rStyle w:val="47"/>
          <w:rFonts w:hint="eastAsia" w:ascii="宋体" w:hAnsi="宋体" w:cs="宋体"/>
          <w:b/>
          <w:bCs/>
          <w:color w:val="000000" w:themeColor="text1"/>
          <w:sz w:val="24"/>
          <w:szCs w:val="24"/>
          <w14:textFill>
            <w14:solidFill>
              <w14:schemeClr w14:val="tx1"/>
            </w14:solidFill>
          </w14:textFill>
        </w:rPr>
        <w:t>一、评标方法与定标原则</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snapToGrid w:val="0"/>
        <w:spacing w:line="500" w:lineRule="exact"/>
        <w:ind w:firstLine="480" w:firstLineChars="200"/>
        <w:rPr>
          <w:rStyle w:val="47"/>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"https://link.zhihu.com/?target=http://baike.baidu.com/view/89764.htm" \t "https://www.zhihu.com/question/_blank"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szCs w:val="24"/>
          <w14:textFill>
            <w14:solidFill>
              <w14:schemeClr w14:val="tx1"/>
            </w14:solidFill>
          </w14:textFill>
        </w:rPr>
        <w:t>竞争</w:t>
      </w:r>
      <w:r>
        <w:rPr>
          <w:rFonts w:hint="eastAsia" w:ascii="宋体" w:hAnsi="宋体" w:cs="宋体"/>
          <w:bCs/>
          <w:color w:val="000000" w:themeColor="text1"/>
          <w:sz w:val="24"/>
          <w:szCs w:val="24"/>
          <w14:textFill>
            <w14:solidFill>
              <w14:schemeClr w14:val="tx1"/>
            </w14:solidFill>
          </w14:textFill>
        </w:rPr>
        <w:fldChar w:fldCharType="end"/>
      </w:r>
      <w:r>
        <w:rPr>
          <w:rFonts w:hint="eastAsia" w:ascii="宋体" w:hAnsi="宋体" w:cs="宋体"/>
          <w:bCs/>
          <w:color w:val="000000" w:themeColor="text1"/>
          <w:sz w:val="24"/>
          <w:szCs w:val="24"/>
          <w14:textFill>
            <w14:solidFill>
              <w14:schemeClr w14:val="tx1"/>
            </w14:solidFill>
          </w14:textFill>
        </w:rPr>
        <w:t>，其投标应作</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"https://link.zhihu.com/?target=http://baike.baidu.com/view/1281780.htm" \t "https://www.zhihu.com/question/_blank"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szCs w:val="24"/>
          <w14:textFill>
            <w14:solidFill>
              <w14:schemeClr w14:val="tx1"/>
            </w14:solidFill>
          </w14:textFill>
        </w:rPr>
        <w:t>废标</w:t>
      </w:r>
      <w:r>
        <w:rPr>
          <w:rFonts w:hint="eastAsia" w:ascii="宋体" w:hAnsi="宋体" w:cs="宋体"/>
          <w:bCs/>
          <w:color w:val="000000" w:themeColor="text1"/>
          <w:sz w:val="24"/>
          <w:szCs w:val="24"/>
          <w14:textFill>
            <w14:solidFill>
              <w14:schemeClr w14:val="tx1"/>
            </w14:solidFill>
          </w14:textFill>
        </w:rPr>
        <w:fldChar w:fldCharType="end"/>
      </w:r>
      <w:r>
        <w:rPr>
          <w:rFonts w:hint="eastAsia" w:ascii="宋体" w:hAnsi="宋体" w:cs="宋体"/>
          <w:bCs/>
          <w:color w:val="000000" w:themeColor="text1"/>
          <w:sz w:val="24"/>
          <w:szCs w:val="24"/>
          <w14:textFill>
            <w14:solidFill>
              <w14:schemeClr w14:val="tx1"/>
            </w14:solidFill>
          </w14:textFill>
        </w:rPr>
        <w:t>处理。</w:t>
      </w:r>
    </w:p>
    <w:p>
      <w:pPr>
        <w:pStyle w:val="19"/>
        <w:adjustRightInd w:val="0"/>
        <w:snapToGrid w:val="0"/>
        <w:spacing w:before="0" w:beforeAutospacing="0" w:after="0" w:afterAutospacing="0" w:line="360" w:lineRule="auto"/>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政府采购政策功能落实</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1、小微型企业价格扣除</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（1）本项目对小型和微型企业产品给予10%的扣除价格，用扣除后的价格参与评审。</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（2）供应商需按照采购文件的要求提供相应的《企业声明函》。</w:t>
      </w:r>
    </w:p>
    <w:p>
      <w:pPr>
        <w:pStyle w:val="19"/>
        <w:spacing w:before="0" w:beforeAutospacing="0" w:after="0" w:afterAutospacing="0"/>
        <w:ind w:firstLine="480" w:firstLineChars="200"/>
        <w:rPr>
          <w:b/>
          <w:bCs/>
          <w:color w:val="000000" w:themeColor="text1"/>
          <w:szCs w:val="24"/>
          <w:u w:val="single"/>
          <w14:textFill>
            <w14:solidFill>
              <w14:schemeClr w14:val="tx1"/>
            </w14:solidFill>
          </w14:textFill>
        </w:rPr>
      </w:pPr>
      <w:r>
        <w:rPr>
          <w:rFonts w:hint="eastAsia"/>
          <w:bCs/>
          <w:color w:val="000000" w:themeColor="text1"/>
          <w:szCs w:val="24"/>
          <w14:textFill>
            <w14:solidFill>
              <w14:schemeClr w14:val="tx1"/>
            </w14:solidFill>
          </w14:textFill>
        </w:rPr>
        <w:t>（3）企业标准请参照《关于印发中小企业划型标准规定的通知》（工信部联企业[2011]300号）文件规定及国家统计局关于印发《统计上大中小微型企业划分办法（2017）》的通知自行填写。</w:t>
      </w:r>
      <w:r>
        <w:rPr>
          <w:rFonts w:hint="eastAsia"/>
          <w:b/>
          <w:color w:val="000000" w:themeColor="text1"/>
          <w:szCs w:val="24"/>
          <w14:textFill>
            <w14:solidFill>
              <w14:schemeClr w14:val="tx1"/>
            </w14:solidFill>
          </w14:textFill>
        </w:rPr>
        <w:t>本采购标的的所属行业为工业</w:t>
      </w:r>
      <w:r>
        <w:rPr>
          <w:rFonts w:hint="eastAsia"/>
          <w:bCs/>
          <w:color w:val="000000" w:themeColor="text1"/>
          <w:szCs w:val="24"/>
          <w14:textFill>
            <w14:solidFill>
              <w14:schemeClr w14:val="tx1"/>
            </w14:solidFill>
          </w14:textFill>
        </w:rPr>
        <w:t>，如未按要求填写，不得享受价格扣除。</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14:textFill>
            <w14:solidFill>
              <w14:schemeClr w14:val="tx1"/>
            </w14:solidFill>
          </w14:textFill>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2、残疾人福利单位价格扣除</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3、监狱和戒毒企业价格扣除</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（3）监狱企业标准请参照《关于政府采购支持监狱企业发展有关问题的通知》（财库[2014]68号）。</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snapToGrid w:val="0"/>
        <w:spacing w:line="500" w:lineRule="exact"/>
        <w:ind w:firstLine="482" w:firstLineChars="200"/>
        <w:rPr>
          <w:rStyle w:val="47"/>
          <w:rFonts w:ascii="宋体" w:hAnsi="宋体" w:cs="宋体"/>
          <w:color w:val="000000" w:themeColor="text1"/>
          <w14:textFill>
            <w14:solidFill>
              <w14:schemeClr w14:val="tx1"/>
            </w14:solidFill>
          </w14:textFill>
        </w:rPr>
      </w:pPr>
      <w:r>
        <w:rPr>
          <w:rStyle w:val="47"/>
          <w:rFonts w:hint="eastAsia" w:ascii="宋体" w:hAnsi="宋体" w:cs="宋体"/>
          <w:b/>
          <w:color w:val="000000" w:themeColor="text1"/>
          <w:sz w:val="24"/>
          <w:szCs w:val="24"/>
          <w14:textFill>
            <w14:solidFill>
              <w14:schemeClr w14:val="tx1"/>
            </w14:solidFill>
          </w14:textFill>
        </w:rPr>
        <w:t>二、评标标准</w:t>
      </w:r>
    </w:p>
    <w:p>
      <w:pPr>
        <w:snapToGrid w:val="0"/>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napToGrid w:val="0"/>
          <w:color w:val="000000" w:themeColor="text1"/>
          <w:kern w:val="0"/>
          <w:sz w:val="24"/>
          <w:szCs w:val="24"/>
          <w14:textFill>
            <w14:solidFill>
              <w14:schemeClr w14:val="tx1"/>
            </w14:solidFill>
          </w14:textFill>
        </w:rPr>
        <w:t>本项目评分总分值为100分。</w:t>
      </w:r>
    </w:p>
    <w:tbl>
      <w:tblPr>
        <w:tblStyle w:val="22"/>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24"/>
        <w:gridCol w:w="70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14" w:type="dxa"/>
            <w:vAlign w:val="center"/>
          </w:tcPr>
          <w:p>
            <w:pPr>
              <w:spacing w:line="3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1124" w:type="dxa"/>
            <w:vAlign w:val="center"/>
          </w:tcPr>
          <w:p>
            <w:pPr>
              <w:spacing w:line="3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评分</w:t>
            </w:r>
          </w:p>
          <w:p>
            <w:pPr>
              <w:spacing w:line="3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因素</w:t>
            </w:r>
          </w:p>
        </w:tc>
        <w:tc>
          <w:tcPr>
            <w:tcW w:w="709" w:type="dxa"/>
            <w:vAlign w:val="center"/>
          </w:tcPr>
          <w:p>
            <w:pPr>
              <w:spacing w:line="3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分值</w:t>
            </w:r>
          </w:p>
        </w:tc>
        <w:tc>
          <w:tcPr>
            <w:tcW w:w="6595" w:type="dxa"/>
            <w:vAlign w:val="center"/>
          </w:tcPr>
          <w:p>
            <w:pPr>
              <w:spacing w:line="320" w:lineRule="exact"/>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1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12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投标报价</w:t>
            </w:r>
          </w:p>
          <w:p>
            <w:pPr>
              <w:pStyle w:val="2"/>
              <w:rPr>
                <w:color w:val="000000" w:themeColor="text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50</w:t>
            </w:r>
            <w:r>
              <w:rPr>
                <w:rFonts w:hint="eastAsia" w:ascii="宋体" w:hAnsi="宋体" w:cs="宋体"/>
                <w:color w:val="000000" w:themeColor="text1"/>
                <w:sz w:val="21"/>
                <w:szCs w:val="21"/>
                <w14:textFill>
                  <w14:solidFill>
                    <w14:schemeClr w14:val="tx1"/>
                  </w14:solidFill>
                </w14:textFill>
              </w:rPr>
              <w:t>分）</w:t>
            </w: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50分</w:t>
            </w:r>
          </w:p>
        </w:tc>
        <w:tc>
          <w:tcPr>
            <w:tcW w:w="6595" w:type="dxa"/>
            <w:vAlign w:val="center"/>
          </w:tcPr>
          <w:p>
            <w:pPr>
              <w:spacing w:line="32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所有有效投标报价中满足招标文件要求，价格最低的投标报价为评标基准价，其价格分为50分，其他投标人的价格分按照下列公式计算（计算结果四舍五入保留两位小数）。</w:t>
            </w:r>
          </w:p>
          <w:p>
            <w:pPr>
              <w:spacing w:line="32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投标人报价得分＝（评标基准价/投标报价）×50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71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12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技术部分</w:t>
            </w:r>
          </w:p>
          <w:p>
            <w:pPr>
              <w:pStyle w:val="2"/>
              <w:rPr>
                <w:color w:val="000000" w:themeColor="text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16</w:t>
            </w:r>
            <w:r>
              <w:rPr>
                <w:rFonts w:hint="eastAsia" w:ascii="宋体" w:hAnsi="宋体" w:cs="宋体"/>
                <w:color w:val="000000" w:themeColor="text1"/>
                <w:sz w:val="21"/>
                <w:szCs w:val="21"/>
                <w14:textFill>
                  <w14:solidFill>
                    <w14:schemeClr w14:val="tx1"/>
                  </w14:solidFill>
                </w14:textFill>
              </w:rPr>
              <w:t>）</w:t>
            </w: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演示软件（</w:t>
            </w:r>
            <w:r>
              <w:rPr>
                <w:rFonts w:ascii="宋体" w:hAnsi="宋体" w:cs="宋体"/>
                <w:color w:val="000000" w:themeColor="text1"/>
                <w14:textFill>
                  <w14:solidFill>
                    <w14:schemeClr w14:val="tx1"/>
                  </w14:solidFill>
                </w14:textFill>
              </w:rPr>
              <w:t>16</w:t>
            </w:r>
            <w:r>
              <w:rPr>
                <w:rFonts w:hint="eastAsia" w:ascii="宋体" w:hAnsi="宋体" w:cs="宋体"/>
                <w:color w:val="000000" w:themeColor="text1"/>
                <w14:textFill>
                  <w14:solidFill>
                    <w14:schemeClr w14:val="tx1"/>
                  </w14:solidFill>
                </w14:textFill>
              </w:rPr>
              <w:t>分）</w:t>
            </w:r>
          </w:p>
        </w:tc>
        <w:tc>
          <w:tcPr>
            <w:tcW w:w="6595" w:type="dxa"/>
            <w:vAlign w:val="center"/>
          </w:tcPr>
          <w:p>
            <w:pPr>
              <w:pStyle w:val="19"/>
              <w:spacing w:before="0" w:beforeAutospacing="0" w:after="0" w:afterAutospacing="0"/>
              <w:ind w:firstLine="420" w:firstLineChars="200"/>
              <w:rPr>
                <w:rFonts w:ascii="Times New Roman" w:hAnsi="Times New Roman" w:cstheme="minorBidi"/>
                <w:color w:val="000000" w:themeColor="text1"/>
                <w:kern w:val="2"/>
                <w:sz w:val="21"/>
                <w14:textFill>
                  <w14:solidFill>
                    <w14:schemeClr w14:val="tx1"/>
                  </w14:solidFill>
                </w14:textFill>
              </w:rPr>
            </w:pPr>
            <w:r>
              <w:rPr>
                <w:rFonts w:hint="eastAsia" w:ascii="Times New Roman" w:hAnsi="Times New Roman" w:cstheme="minorBidi"/>
                <w:color w:val="000000" w:themeColor="text1"/>
                <w:kern w:val="2"/>
                <w:sz w:val="21"/>
                <w14:textFill>
                  <w14:solidFill>
                    <w14:schemeClr w14:val="tx1"/>
                  </w14:solidFill>
                </w14:textFill>
              </w:rPr>
              <w:t>从项目需求“五大模块至少需要具备的功能考核指标”序号1-</w:t>
            </w:r>
            <w:r>
              <w:rPr>
                <w:rFonts w:ascii="Times New Roman" w:hAnsi="Times New Roman" w:cstheme="minorBidi"/>
                <w:color w:val="000000" w:themeColor="text1"/>
                <w:kern w:val="2"/>
                <w:sz w:val="21"/>
                <w14:textFill>
                  <w14:solidFill>
                    <w14:schemeClr w14:val="tx1"/>
                  </w14:solidFill>
                </w14:textFill>
              </w:rPr>
              <w:t>18</w:t>
            </w:r>
            <w:r>
              <w:rPr>
                <w:rFonts w:hint="eastAsia" w:ascii="Times New Roman" w:hAnsi="Times New Roman" w:cstheme="minorBidi"/>
                <w:color w:val="000000" w:themeColor="text1"/>
                <w:kern w:val="2"/>
                <w:sz w:val="21"/>
                <w14:textFill>
                  <w14:solidFill>
                    <w14:schemeClr w14:val="tx1"/>
                  </w14:solidFill>
                </w14:textFill>
              </w:rPr>
              <w:t>中现场抽取</w:t>
            </w:r>
            <w:r>
              <w:rPr>
                <w:rFonts w:ascii="Times New Roman" w:hAnsi="Times New Roman" w:cstheme="minorBidi"/>
                <w:color w:val="000000" w:themeColor="text1"/>
                <w:kern w:val="2"/>
                <w:sz w:val="21"/>
                <w14:textFill>
                  <w14:solidFill>
                    <w14:schemeClr w14:val="tx1"/>
                  </w14:solidFill>
                </w14:textFill>
              </w:rPr>
              <w:t>2</w:t>
            </w:r>
            <w:r>
              <w:rPr>
                <w:rFonts w:hint="eastAsia" w:ascii="Times New Roman" w:hAnsi="Times New Roman" w:cstheme="minorBidi"/>
                <w:color w:val="000000" w:themeColor="text1"/>
                <w:kern w:val="2"/>
                <w:sz w:val="21"/>
                <w14:textFill>
                  <w14:solidFill>
                    <w14:schemeClr w14:val="tx1"/>
                  </w14:solidFill>
                </w14:textFill>
              </w:rPr>
              <w:t>个指标进行现场演示，为软件演示，录屏、图片等其他形式无效，每个指标演示时间为5分钟，2个指标控制</w:t>
            </w:r>
            <w:r>
              <w:rPr>
                <w:rFonts w:ascii="Times New Roman" w:hAnsi="Times New Roman" w:cstheme="minorBidi"/>
                <w:color w:val="000000" w:themeColor="text1"/>
                <w:kern w:val="2"/>
                <w:sz w:val="21"/>
                <w14:textFill>
                  <w14:solidFill>
                    <w14:schemeClr w14:val="tx1"/>
                  </w14:solidFill>
                </w14:textFill>
              </w:rPr>
              <w:t>10</w:t>
            </w:r>
            <w:r>
              <w:rPr>
                <w:rFonts w:hint="eastAsia" w:ascii="Times New Roman" w:hAnsi="Times New Roman" w:cstheme="minorBidi"/>
                <w:color w:val="000000" w:themeColor="text1"/>
                <w:kern w:val="2"/>
                <w:sz w:val="21"/>
                <w14:textFill>
                  <w14:solidFill>
                    <w14:schemeClr w14:val="tx1"/>
                  </w14:solidFill>
                </w14:textFill>
              </w:rPr>
              <w:t>分钟以内，演示结束后专家对抽取的考核指标打分，并结合展示情况对“画面效果”、“教学支撑”指标评分，最终得分为</w:t>
            </w:r>
            <w:r>
              <w:rPr>
                <w:rFonts w:ascii="Times New Roman" w:hAnsi="Times New Roman" w:cstheme="minorBidi"/>
                <w:color w:val="000000" w:themeColor="text1"/>
                <w:kern w:val="2"/>
                <w:sz w:val="21"/>
                <w14:textFill>
                  <w14:solidFill>
                    <w14:schemeClr w14:val="tx1"/>
                  </w14:solidFill>
                </w14:textFill>
              </w:rPr>
              <w:t>4</w:t>
            </w:r>
            <w:r>
              <w:rPr>
                <w:rFonts w:hint="eastAsia" w:ascii="Times New Roman" w:hAnsi="Times New Roman" w:cstheme="minorBidi"/>
                <w:color w:val="000000" w:themeColor="text1"/>
                <w:kern w:val="2"/>
                <w:sz w:val="21"/>
                <w14:textFill>
                  <w14:solidFill>
                    <w14:schemeClr w14:val="tx1"/>
                  </w14:solidFill>
                </w14:textFill>
              </w:rPr>
              <w:t>项（抽取</w:t>
            </w:r>
            <w:r>
              <w:rPr>
                <w:rFonts w:ascii="Times New Roman" w:hAnsi="Times New Roman" w:cstheme="minorBidi"/>
                <w:color w:val="000000" w:themeColor="text1"/>
                <w:kern w:val="2"/>
                <w:sz w:val="21"/>
                <w14:textFill>
                  <w14:solidFill>
                    <w14:schemeClr w14:val="tx1"/>
                  </w14:solidFill>
                </w14:textFill>
              </w:rPr>
              <w:t>2</w:t>
            </w:r>
            <w:r>
              <w:rPr>
                <w:rFonts w:hint="eastAsia" w:ascii="Times New Roman" w:hAnsi="Times New Roman" w:cstheme="minorBidi"/>
                <w:color w:val="000000" w:themeColor="text1"/>
                <w:kern w:val="2"/>
                <w:sz w:val="21"/>
                <w14:textFill>
                  <w14:solidFill>
                    <w14:schemeClr w14:val="tx1"/>
                  </w14:solidFill>
                </w14:textFill>
              </w:rPr>
              <w:t>项+“画面效果”+“教学支撑”）的总得分，每个指标打分为五档，分别是非常好（4分）、比较好（3分）、正常（2分）、尚可（1分）及不满足（0分）。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12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方案部分（</w:t>
            </w:r>
            <w:r>
              <w:rPr>
                <w:rFonts w:ascii="宋体" w:hAnsi="宋体" w:cs="宋体"/>
                <w:color w:val="000000" w:themeColor="text1"/>
                <w14:textFill>
                  <w14:solidFill>
                    <w14:schemeClr w14:val="tx1"/>
                  </w14:solidFill>
                </w14:textFill>
              </w:rPr>
              <w:t>20</w:t>
            </w:r>
            <w:r>
              <w:rPr>
                <w:rFonts w:hint="eastAsia" w:ascii="宋体" w:hAnsi="宋体" w:cs="宋体"/>
                <w:color w:val="000000" w:themeColor="text1"/>
                <w14:textFill>
                  <w14:solidFill>
                    <w14:schemeClr w14:val="tx1"/>
                  </w14:solidFill>
                </w14:textFill>
              </w:rPr>
              <w:t>分）</w:t>
            </w: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r>
              <w:rPr>
                <w:rFonts w:hint="eastAsia" w:ascii="宋体" w:hAnsi="宋体" w:cs="宋体"/>
                <w:color w:val="000000" w:themeColor="text1"/>
                <w14:textFill>
                  <w14:solidFill>
                    <w14:schemeClr w14:val="tx1"/>
                  </w14:solidFill>
                </w14:textFill>
              </w:rPr>
              <w:t>分</w:t>
            </w:r>
          </w:p>
        </w:tc>
        <w:tc>
          <w:tcPr>
            <w:tcW w:w="6595" w:type="dxa"/>
            <w:vAlign w:val="center"/>
          </w:tcPr>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根据整个方案</w:t>
            </w:r>
            <w:r>
              <w:rPr>
                <w:rFonts w:hint="eastAsia"/>
                <w:color w:val="000000" w:themeColor="text1"/>
                <w14:textFill>
                  <w14:solidFill>
                    <w14:schemeClr w14:val="tx1"/>
                  </w14:solidFill>
                </w14:textFill>
              </w:rPr>
              <w:t>（五大模块）</w:t>
            </w:r>
            <w:r>
              <w:rPr>
                <w:color w:val="000000" w:themeColor="text1"/>
                <w14:textFill>
                  <w14:solidFill>
                    <w14:schemeClr w14:val="tx1"/>
                  </w14:solidFill>
                </w14:textFill>
              </w:rPr>
              <w:t>的可行性、展示度、满足教学要求及适用性酌情打分</w:t>
            </w:r>
            <w:r>
              <w:rPr>
                <w:rFonts w:hint="eastAsia"/>
                <w:color w:val="000000" w:themeColor="text1"/>
                <w14:textFill>
                  <w14:solidFill>
                    <w14:schemeClr w14:val="tx1"/>
                  </w14:solidFill>
                </w14:textFill>
              </w:rPr>
              <w:t>，基本分为</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.整体方案</w:t>
            </w:r>
            <w:r>
              <w:rPr>
                <w:rFonts w:hint="eastAsia"/>
                <w:color w:val="000000" w:themeColor="text1"/>
                <w14:textFill>
                  <w14:solidFill>
                    <w14:schemeClr w14:val="tx1"/>
                  </w14:solidFill>
                </w14:textFill>
              </w:rPr>
              <w:t>完善、内容丰富、素材数量充足、实施过程详尽、图文并茂具体展示、能充分体现五大模块运行顺畅，充分体现</w:t>
            </w:r>
            <w:r>
              <w:rPr>
                <w:color w:val="000000" w:themeColor="text1"/>
                <w14:textFill>
                  <w14:solidFill>
                    <w14:schemeClr w14:val="tx1"/>
                  </w14:solidFill>
                </w14:textFill>
              </w:rPr>
              <w:t>纺织生产过程信息化、纺织工艺虚拟化设计、适合教学用生产过程业务执行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得16</w:t>
            </w:r>
            <w:r>
              <w:rPr>
                <w:rFonts w:hint="eastAsia"/>
                <w:color w:val="000000" w:themeColor="text1"/>
                <w14:textFill>
                  <w14:solidFill>
                    <w14:schemeClr w14:val="tx1"/>
                  </w14:solidFill>
                </w14:textFill>
              </w:rPr>
              <w:t>（不含）</w:t>
            </w:r>
            <w:r>
              <w:rPr>
                <w:color w:val="000000" w:themeColor="text1"/>
                <w14:textFill>
                  <w14:solidFill>
                    <w14:schemeClr w14:val="tx1"/>
                  </w14:solidFill>
                </w14:textFill>
              </w:rPr>
              <w:t>-20分</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.整体方案较完善</w:t>
            </w:r>
            <w:r>
              <w:rPr>
                <w:rFonts w:hint="eastAsia"/>
                <w:color w:val="000000" w:themeColor="text1"/>
                <w14:textFill>
                  <w14:solidFill>
                    <w14:schemeClr w14:val="tx1"/>
                  </w14:solidFill>
                </w14:textFill>
              </w:rPr>
              <w:t>、内容一般、素材数量一般，实施过程基本详尽、图文并茂展示一般、能体现五大模块正常运行，体现</w:t>
            </w:r>
            <w:r>
              <w:rPr>
                <w:color w:val="000000" w:themeColor="text1"/>
                <w14:textFill>
                  <w14:solidFill>
                    <w14:schemeClr w14:val="tx1"/>
                  </w14:solidFill>
                </w14:textFill>
              </w:rPr>
              <w:t>纺织生产过程信息化、纺织工艺虚拟化设计、可用于教学用生产过程业务执行，得12</w:t>
            </w:r>
            <w:r>
              <w:rPr>
                <w:rFonts w:hint="eastAsia"/>
                <w:color w:val="000000" w:themeColor="text1"/>
                <w14:textFill>
                  <w14:solidFill>
                    <w14:schemeClr w14:val="tx1"/>
                  </w14:solidFill>
                </w14:textFill>
              </w:rPr>
              <w:t>（不含）</w:t>
            </w:r>
            <w:r>
              <w:rPr>
                <w:color w:val="000000" w:themeColor="text1"/>
                <w14:textFill>
                  <w14:solidFill>
                    <w14:schemeClr w14:val="tx1"/>
                  </w14:solidFill>
                </w14:textFill>
              </w:rPr>
              <w:t>-16分</w:t>
            </w:r>
            <w:r>
              <w:rPr>
                <w:rFonts w:hint="eastAsia"/>
                <w:color w:val="000000" w:themeColor="text1"/>
                <w14:textFill>
                  <w14:solidFill>
                    <w14:schemeClr w14:val="tx1"/>
                  </w14:solidFill>
                </w14:textFill>
              </w:rPr>
              <w:t>；</w:t>
            </w:r>
          </w:p>
          <w:p>
            <w:pPr>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.整体方案有欠缺</w:t>
            </w:r>
            <w:r>
              <w:rPr>
                <w:rFonts w:hint="eastAsia"/>
                <w:color w:val="000000" w:themeColor="text1"/>
                <w14:textFill>
                  <w14:solidFill>
                    <w14:schemeClr w14:val="tx1"/>
                  </w14:solidFill>
                </w14:textFill>
              </w:rPr>
              <w:t>、内容较差、素材数量不足，实施过程未详尽、图文并茂展示不足，未体现五大模块正常运行，未体现</w:t>
            </w:r>
            <w:r>
              <w:rPr>
                <w:color w:val="000000" w:themeColor="text1"/>
                <w14:textFill>
                  <w14:solidFill>
                    <w14:schemeClr w14:val="tx1"/>
                  </w14:solidFill>
                </w14:textFill>
              </w:rPr>
              <w:t>纺织生产过程信息化、纺织工艺虚拟化设计、用于教学用生产过程业务执行有一定差距，得8</w:t>
            </w:r>
            <w:r>
              <w:rPr>
                <w:rFonts w:hint="eastAsia"/>
                <w:color w:val="000000" w:themeColor="text1"/>
                <w14:textFill>
                  <w14:solidFill>
                    <w14:schemeClr w14:val="tx1"/>
                  </w14:solidFill>
                </w14:textFill>
              </w:rPr>
              <w:t>（不含）</w:t>
            </w:r>
            <w:r>
              <w:rPr>
                <w:color w:val="000000" w:themeColor="text1"/>
                <w14:textFill>
                  <w14:solidFill>
                    <w14:schemeClr w14:val="tx1"/>
                  </w14:solidFill>
                </w14:textFill>
              </w:rPr>
              <w:t>-12分。</w:t>
            </w:r>
          </w:p>
          <w:p>
            <w:pPr>
              <w:spacing w:line="3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4.整体方案严重欠缺或未提供不得分。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124" w:type="dxa"/>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商务部分（</w:t>
            </w: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分）</w:t>
            </w: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分</w:t>
            </w:r>
          </w:p>
        </w:tc>
        <w:tc>
          <w:tcPr>
            <w:tcW w:w="6595" w:type="dxa"/>
            <w:vAlign w:val="center"/>
          </w:tcPr>
          <w:p>
            <w:pPr>
              <w:spacing w:line="320" w:lineRule="exact"/>
              <w:rPr>
                <w:rFonts w:hint="eastAsia"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类似业绩：投标人自20</w:t>
            </w:r>
            <w:r>
              <w:rPr>
                <w:rFonts w:ascii="宋体" w:hAnsi="宋体"/>
                <w:color w:val="000000" w:themeColor="text1"/>
                <w:kern w:val="0"/>
                <w14:textFill>
                  <w14:solidFill>
                    <w14:schemeClr w14:val="tx1"/>
                  </w14:solidFill>
                </w14:textFill>
              </w:rPr>
              <w:t>20</w:t>
            </w:r>
            <w:r>
              <w:rPr>
                <w:rFonts w:hint="eastAsia" w:ascii="宋体" w:hAnsi="宋体"/>
                <w:color w:val="000000" w:themeColor="text1"/>
                <w:kern w:val="0"/>
                <w14:textFill>
                  <w14:solidFill>
                    <w14:schemeClr w14:val="tx1"/>
                  </w14:solidFill>
                </w14:textFill>
              </w:rPr>
              <w:t>年1月1日（以合同签字时间为准）以来具有承接过类似纺织</w:t>
            </w:r>
            <w:r>
              <w:rPr>
                <w:rFonts w:ascii="宋体" w:hAnsi="宋体"/>
                <w:color w:val="000000" w:themeColor="text1"/>
                <w:kern w:val="0"/>
                <w14:textFill>
                  <w14:solidFill>
                    <w14:schemeClr w14:val="tx1"/>
                  </w14:solidFill>
                </w14:textFill>
              </w:rPr>
              <w:t>MES</w:t>
            </w:r>
            <w:r>
              <w:rPr>
                <w:rFonts w:hint="eastAsia" w:ascii="宋体" w:hAnsi="宋体"/>
                <w:color w:val="000000" w:themeColor="text1"/>
                <w:kern w:val="0"/>
                <w14:textFill>
                  <w14:solidFill>
                    <w14:schemeClr w14:val="tx1"/>
                  </w14:solidFill>
                </w14:textFill>
              </w:rPr>
              <w:t>系统产品业绩的，每提供1份合同得</w:t>
            </w:r>
            <w:r>
              <w:rPr>
                <w:rFonts w:ascii="宋体" w:hAnsi="宋体"/>
                <w:color w:val="000000" w:themeColor="text1"/>
                <w:kern w:val="0"/>
                <w14:textFill>
                  <w14:solidFill>
                    <w14:schemeClr w14:val="tx1"/>
                  </w14:solidFill>
                </w14:textFill>
              </w:rPr>
              <w:t>2</w:t>
            </w:r>
            <w:r>
              <w:rPr>
                <w:rFonts w:hint="eastAsia" w:ascii="宋体" w:hAnsi="宋体"/>
                <w:color w:val="000000" w:themeColor="text1"/>
                <w:kern w:val="0"/>
                <w14:textFill>
                  <w14:solidFill>
                    <w14:schemeClr w14:val="tx1"/>
                  </w14:solidFill>
                </w14:textFill>
              </w:rPr>
              <w:t>分，最高得6分；已被服务企业入选中国纺织服装企业竞争力</w:t>
            </w:r>
            <w:r>
              <w:rPr>
                <w:rFonts w:ascii="宋体" w:hAnsi="宋体"/>
                <w:color w:val="000000" w:themeColor="text1"/>
                <w:kern w:val="0"/>
                <w14:textFill>
                  <w14:solidFill>
                    <w14:schemeClr w14:val="tx1"/>
                  </w14:solidFill>
                </w14:textFill>
              </w:rPr>
              <w:t>500</w:t>
            </w:r>
            <w:r>
              <w:rPr>
                <w:rFonts w:hint="eastAsia" w:ascii="宋体" w:hAnsi="宋体"/>
                <w:color w:val="000000" w:themeColor="text1"/>
                <w:kern w:val="0"/>
                <w14:textFill>
                  <w14:solidFill>
                    <w14:schemeClr w14:val="tx1"/>
                  </w14:solidFill>
                </w14:textFill>
              </w:rPr>
              <w:t>强，中国棉纺织企业1</w:t>
            </w:r>
            <w:r>
              <w:rPr>
                <w:rFonts w:ascii="宋体" w:hAnsi="宋体"/>
                <w:color w:val="000000" w:themeColor="text1"/>
                <w:kern w:val="0"/>
                <w14:textFill>
                  <w14:solidFill>
                    <w14:schemeClr w14:val="tx1"/>
                  </w14:solidFill>
                </w14:textFill>
              </w:rPr>
              <w:t>00</w:t>
            </w:r>
            <w:r>
              <w:rPr>
                <w:rFonts w:hint="eastAsia" w:ascii="宋体" w:hAnsi="宋体"/>
                <w:color w:val="000000" w:themeColor="text1"/>
                <w:kern w:val="0"/>
                <w14:textFill>
                  <w14:solidFill>
                    <w14:schemeClr w14:val="tx1"/>
                  </w14:solidFill>
                </w14:textFill>
              </w:rPr>
              <w:t>强名单及以上为参考，每提供1份合同得</w:t>
            </w:r>
            <w:r>
              <w:rPr>
                <w:rFonts w:ascii="宋体" w:hAnsi="宋体"/>
                <w:color w:val="000000" w:themeColor="text1"/>
                <w:kern w:val="0"/>
                <w14:textFill>
                  <w14:solidFill>
                    <w14:schemeClr w14:val="tx1"/>
                  </w14:solidFill>
                </w14:textFill>
              </w:rPr>
              <w:t>2</w:t>
            </w:r>
            <w:r>
              <w:rPr>
                <w:rFonts w:hint="eastAsia" w:ascii="宋体" w:hAnsi="宋体"/>
                <w:color w:val="000000" w:themeColor="text1"/>
                <w:kern w:val="0"/>
                <w14:textFill>
                  <w14:solidFill>
                    <w14:schemeClr w14:val="tx1"/>
                  </w14:solidFill>
                </w14:textFill>
              </w:rPr>
              <w:t>分，最高得</w:t>
            </w:r>
            <w:r>
              <w:rPr>
                <w:rFonts w:ascii="宋体" w:hAnsi="宋体"/>
                <w:color w:val="000000" w:themeColor="text1"/>
                <w:kern w:val="0"/>
                <w14:textFill>
                  <w14:solidFill>
                    <w14:schemeClr w14:val="tx1"/>
                  </w14:solidFill>
                </w14:textFill>
              </w:rPr>
              <w:t>4</w:t>
            </w:r>
            <w:r>
              <w:rPr>
                <w:rFonts w:hint="eastAsia" w:ascii="宋体" w:hAnsi="宋体"/>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14" w:type="dxa"/>
            <w:vMerge w:val="restart"/>
            <w:vAlign w:val="center"/>
          </w:tcPr>
          <w:p>
            <w:pPr>
              <w:spacing w:line="32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124" w:type="dxa"/>
            <w:vMerge w:val="restart"/>
            <w:vAlign w:val="center"/>
          </w:tcPr>
          <w:p>
            <w:pPr>
              <w:spacing w:line="32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分）</w:t>
            </w: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1.5</w:t>
            </w:r>
            <w:r>
              <w:rPr>
                <w:rFonts w:hint="eastAsia" w:ascii="宋体" w:hAnsi="宋体" w:cs="宋体"/>
                <w:color w:val="000000" w:themeColor="text1"/>
                <w14:textFill>
                  <w14:solidFill>
                    <w14:schemeClr w14:val="tx1"/>
                  </w14:solidFill>
                </w14:textFill>
              </w:rPr>
              <w:t>分</w:t>
            </w:r>
          </w:p>
        </w:tc>
        <w:tc>
          <w:tcPr>
            <w:tcW w:w="65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五年免费质保，未达到此要求的不得作为中标候选人；满五年免费质保后，每延长一年得</w:t>
            </w:r>
            <w:r>
              <w:rPr>
                <w:color w:val="000000" w:themeColor="text1"/>
                <w14:textFill>
                  <w14:solidFill>
                    <w14:schemeClr w14:val="tx1"/>
                  </w14:solidFill>
                </w14:textFill>
              </w:rPr>
              <w:t>0.5</w:t>
            </w:r>
            <w:r>
              <w:rPr>
                <w:rFonts w:hint="eastAsia"/>
                <w:color w:val="000000" w:themeColor="text1"/>
                <w14:textFill>
                  <w14:solidFill>
                    <w14:schemeClr w14:val="tx1"/>
                  </w14:solidFill>
                </w14:textFill>
              </w:rPr>
              <w:t>分，最高得</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14" w:type="dxa"/>
            <w:vMerge w:val="continue"/>
            <w:vAlign w:val="center"/>
          </w:tcPr>
          <w:p>
            <w:pPr>
              <w:spacing w:line="320" w:lineRule="exact"/>
              <w:rPr>
                <w:rFonts w:ascii="宋体" w:hAnsi="宋体" w:cs="宋体"/>
                <w:color w:val="000000" w:themeColor="text1"/>
                <w14:textFill>
                  <w14:solidFill>
                    <w14:schemeClr w14:val="tx1"/>
                  </w14:solidFill>
                </w14:textFill>
              </w:rPr>
            </w:pPr>
          </w:p>
        </w:tc>
        <w:tc>
          <w:tcPr>
            <w:tcW w:w="1124" w:type="dxa"/>
            <w:vMerge w:val="continue"/>
            <w:vAlign w:val="center"/>
          </w:tcPr>
          <w:p>
            <w:pPr>
              <w:spacing w:line="320" w:lineRule="exact"/>
              <w:rPr>
                <w:rFonts w:ascii="宋体" w:hAnsi="宋体" w:cs="宋体"/>
                <w:color w:val="000000" w:themeColor="text1"/>
                <w14:textFill>
                  <w14:solidFill>
                    <w14:schemeClr w14:val="tx1"/>
                  </w14:solidFill>
                </w14:textFill>
              </w:rPr>
            </w:pP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6595" w:type="dxa"/>
            <w:vAlign w:val="center"/>
          </w:tcPr>
          <w:p>
            <w:pPr>
              <w:spacing w:line="320" w:lineRule="exact"/>
              <w:rPr>
                <w:rFonts w:ascii="宋体" w:hAnsi="宋体" w:cs="宋体"/>
                <w:bCs/>
                <w:color w:val="000000" w:themeColor="text1"/>
                <w:kern w:val="0"/>
                <w14:textFill>
                  <w14:solidFill>
                    <w14:schemeClr w14:val="tx1"/>
                  </w14:solidFill>
                </w14:textFill>
              </w:rPr>
            </w:pPr>
            <w:r>
              <w:rPr>
                <w:rFonts w:hint="eastAsia"/>
                <w:color w:val="000000" w:themeColor="text1"/>
                <w14:textFill>
                  <w14:solidFill>
                    <w14:schemeClr w14:val="tx1"/>
                  </w14:solidFill>
                </w14:textFill>
              </w:rPr>
              <w:t>投标单位自供货三年内，能提供每学期一次免费上门设备检查维护；每提供1次得</w:t>
            </w:r>
            <w:r>
              <w:rPr>
                <w:color w:val="000000" w:themeColor="text1"/>
                <w14:textFill>
                  <w14:solidFill>
                    <w14:schemeClr w14:val="tx1"/>
                  </w14:solidFill>
                </w14:textFill>
              </w:rPr>
              <w:t>0.5</w:t>
            </w:r>
            <w:r>
              <w:rPr>
                <w:rFonts w:hint="eastAsia"/>
                <w:color w:val="000000" w:themeColor="text1"/>
                <w14:textFill>
                  <w14:solidFill>
                    <w14:schemeClr w14:val="tx1"/>
                  </w14:solidFill>
                </w14:textFill>
              </w:rPr>
              <w:t>分，最高得</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14" w:type="dxa"/>
            <w:vMerge w:val="continue"/>
            <w:vAlign w:val="center"/>
          </w:tcPr>
          <w:p>
            <w:pPr>
              <w:spacing w:line="320" w:lineRule="exact"/>
              <w:rPr>
                <w:rFonts w:ascii="宋体" w:hAnsi="宋体" w:cs="宋体"/>
                <w:color w:val="000000" w:themeColor="text1"/>
                <w14:textFill>
                  <w14:solidFill>
                    <w14:schemeClr w14:val="tx1"/>
                  </w14:solidFill>
                </w14:textFill>
              </w:rPr>
            </w:pPr>
          </w:p>
        </w:tc>
        <w:tc>
          <w:tcPr>
            <w:tcW w:w="1124" w:type="dxa"/>
            <w:vMerge w:val="continue"/>
            <w:vAlign w:val="center"/>
          </w:tcPr>
          <w:p>
            <w:pPr>
              <w:spacing w:line="320" w:lineRule="exact"/>
              <w:rPr>
                <w:rFonts w:ascii="宋体" w:hAnsi="宋体" w:cs="宋体"/>
                <w:color w:val="000000" w:themeColor="text1"/>
                <w14:textFill>
                  <w14:solidFill>
                    <w14:schemeClr w14:val="tx1"/>
                  </w14:solidFill>
                </w14:textFill>
              </w:rPr>
            </w:pPr>
          </w:p>
        </w:tc>
        <w:tc>
          <w:tcPr>
            <w:tcW w:w="709" w:type="dxa"/>
            <w:vAlign w:val="center"/>
          </w:tcPr>
          <w:p>
            <w:pPr>
              <w:spacing w:line="320" w:lineRule="exact"/>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0.5</w:t>
            </w:r>
            <w:r>
              <w:rPr>
                <w:rFonts w:hint="eastAsia" w:ascii="宋体" w:hAnsi="宋体" w:cs="宋体"/>
                <w:color w:val="000000" w:themeColor="text1"/>
                <w14:textFill>
                  <w14:solidFill>
                    <w14:schemeClr w14:val="tx1"/>
                  </w14:solidFill>
                </w14:textFill>
              </w:rPr>
              <w:t>分</w:t>
            </w:r>
          </w:p>
        </w:tc>
        <w:tc>
          <w:tcPr>
            <w:tcW w:w="6595" w:type="dxa"/>
            <w:vAlign w:val="center"/>
          </w:tcPr>
          <w:p>
            <w:pPr>
              <w:rPr>
                <w:rFonts w:ascii="宋体" w:hAnsi="宋体" w:cs="宋体"/>
                <w:bCs/>
                <w:strike/>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投标单位自供货安装结束后7个工作日内，能提供不少于10课时设备培训，得</w:t>
            </w:r>
            <w:r>
              <w:rPr>
                <w:rFonts w:ascii="宋体" w:hAnsi="宋体" w:cs="宋体"/>
                <w:color w:val="000000" w:themeColor="text1"/>
                <w:kern w:val="0"/>
                <w14:textFill>
                  <w14:solidFill>
                    <w14:schemeClr w14:val="tx1"/>
                  </w14:solidFill>
                </w14:textFill>
              </w:rPr>
              <w:t>0.5</w:t>
            </w:r>
            <w:r>
              <w:rPr>
                <w:rFonts w:hint="eastAsia" w:ascii="宋体" w:hAnsi="宋体" w:cs="宋体"/>
                <w:color w:val="000000" w:themeColor="text1"/>
                <w:kern w:val="0"/>
                <w14:textFill>
                  <w14:solidFill>
                    <w14:schemeClr w14:val="tx1"/>
                  </w14:solidFill>
                </w14:textFill>
              </w:rPr>
              <w:t>分。</w:t>
            </w:r>
          </w:p>
        </w:tc>
      </w:tr>
    </w:tbl>
    <w:p>
      <w:pPr>
        <w:pStyle w:val="2"/>
        <w:rPr>
          <w:rStyle w:val="47"/>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rPr>
          <w:rStyle w:val="47"/>
          <w:rFonts w:ascii="宋体"/>
          <w:color w:val="000000" w:themeColor="text1"/>
          <w:szCs w:val="20"/>
          <w14:textFill>
            <w14:solidFill>
              <w14:schemeClr w14:val="tx1"/>
            </w14:solidFill>
          </w14:textFill>
        </w:rPr>
      </w:pPr>
      <w:r>
        <w:rPr>
          <w:rStyle w:val="47"/>
          <w:rFonts w:ascii="宋体" w:hAnsi="宋体"/>
          <w:color w:val="000000" w:themeColor="text1"/>
          <w:szCs w:val="20"/>
          <w14:textFill>
            <w14:solidFill>
              <w14:schemeClr w14:val="tx1"/>
            </w14:solidFill>
          </w14:textFill>
        </w:rPr>
        <w:t xml:space="preserve">说明： </w:t>
      </w:r>
    </w:p>
    <w:p>
      <w:pPr>
        <w:snapToGrid w:val="0"/>
        <w:ind w:firstLine="420" w:firstLineChars="200"/>
        <w:rPr>
          <w:rStyle w:val="47"/>
          <w:rFonts w:ascii="宋体"/>
          <w:color w:val="000000" w:themeColor="text1"/>
          <w:szCs w:val="20"/>
          <w14:textFill>
            <w14:solidFill>
              <w14:schemeClr w14:val="tx1"/>
            </w14:solidFill>
          </w14:textFill>
        </w:rPr>
      </w:pPr>
      <w:r>
        <w:rPr>
          <w:rStyle w:val="47"/>
          <w:rFonts w:ascii="宋体" w:hAnsi="宋体"/>
          <w:color w:val="000000" w:themeColor="text1"/>
          <w:szCs w:val="20"/>
          <w14:textFill>
            <w14:solidFill>
              <w14:schemeClr w14:val="tx1"/>
            </w14:solidFill>
          </w14:textFill>
        </w:rPr>
        <w:t>1、若供应商提供虚假资料</w:t>
      </w:r>
      <w:r>
        <w:rPr>
          <w:rStyle w:val="47"/>
          <w:rFonts w:hint="eastAsia" w:ascii="宋体" w:hAnsi="宋体"/>
          <w:color w:val="000000" w:themeColor="text1"/>
          <w:szCs w:val="20"/>
          <w14:textFill>
            <w14:solidFill>
              <w14:schemeClr w14:val="tx1"/>
            </w14:solidFill>
          </w14:textFill>
        </w:rPr>
        <w:t>或虚假响应</w:t>
      </w:r>
      <w:r>
        <w:rPr>
          <w:rStyle w:val="47"/>
          <w:rFonts w:ascii="宋体" w:hAnsi="宋体"/>
          <w:color w:val="000000" w:themeColor="text1"/>
          <w:szCs w:val="20"/>
          <w14:textFill>
            <w14:solidFill>
              <w14:schemeClr w14:val="tx1"/>
            </w14:solidFill>
          </w14:textFill>
        </w:rPr>
        <w:t>，一经查实</w:t>
      </w:r>
      <w:r>
        <w:rPr>
          <w:rStyle w:val="47"/>
          <w:rFonts w:hint="eastAsia" w:ascii="宋体" w:hAnsi="宋体"/>
          <w:color w:val="000000" w:themeColor="text1"/>
          <w:szCs w:val="20"/>
          <w14:textFill>
            <w14:solidFill>
              <w14:schemeClr w14:val="tx1"/>
            </w14:solidFill>
          </w14:textFill>
        </w:rPr>
        <w:t>有权</w:t>
      </w:r>
      <w:r>
        <w:rPr>
          <w:rStyle w:val="47"/>
          <w:rFonts w:ascii="宋体" w:hAnsi="宋体"/>
          <w:color w:val="000000" w:themeColor="text1"/>
          <w:szCs w:val="20"/>
          <w14:textFill>
            <w14:solidFill>
              <w14:schemeClr w14:val="tx1"/>
            </w14:solidFill>
          </w14:textFill>
        </w:rPr>
        <w:t>取消其中标候选人资格，并向相关主管部门汇报。</w:t>
      </w:r>
    </w:p>
    <w:p>
      <w:pPr>
        <w:snapToGrid w:val="0"/>
        <w:ind w:firstLine="420" w:firstLineChars="200"/>
        <w:rPr>
          <w:rStyle w:val="47"/>
          <w:rFonts w:ascii="宋体"/>
          <w:color w:val="000000" w:themeColor="text1"/>
          <w:szCs w:val="20"/>
          <w14:textFill>
            <w14:solidFill>
              <w14:schemeClr w14:val="tx1"/>
            </w14:solidFill>
          </w14:textFill>
        </w:rPr>
      </w:pPr>
      <w:r>
        <w:rPr>
          <w:rStyle w:val="47"/>
          <w:rFonts w:ascii="宋体" w:hAnsi="宋体"/>
          <w:color w:val="000000" w:themeColor="text1"/>
          <w:szCs w:val="20"/>
          <w14:textFill>
            <w14:solidFill>
              <w14:schemeClr w14:val="tx1"/>
            </w14:solidFill>
          </w14:textFill>
        </w:rPr>
        <w:t>2、中标单位不得转包、分包，如果发现有转包、分包情况，则取消其中标候选人资格，并向相关主管部门汇报。</w:t>
      </w:r>
    </w:p>
    <w:p>
      <w:pPr>
        <w:pStyle w:val="37"/>
        <w:jc w:val="both"/>
        <w:rPr>
          <w:rStyle w:val="47"/>
          <w:rFonts w:ascii="宋体" w:hAnsi="宋体" w:eastAsia="宋体" w:cs="宋体"/>
          <w:b/>
          <w:color w:val="000000" w:themeColor="text1"/>
          <w:sz w:val="44"/>
          <w14:textFill>
            <w14:solidFill>
              <w14:schemeClr w14:val="tx1"/>
            </w14:solidFill>
          </w14:textFill>
        </w:rPr>
      </w:pPr>
      <w:r>
        <w:rPr>
          <w:rStyle w:val="47"/>
          <w:rFonts w:hint="eastAsia" w:ascii="宋体" w:hAnsi="宋体" w:eastAsia="宋体" w:cs="宋体"/>
          <w:b/>
          <w:color w:val="000000" w:themeColor="text1"/>
          <w:sz w:val="44"/>
          <w14:textFill>
            <w14:solidFill>
              <w14:schemeClr w14:val="tx1"/>
            </w14:solidFill>
          </w14:textFill>
        </w:rPr>
        <w:br w:type="page"/>
      </w:r>
    </w:p>
    <w:p>
      <w:pPr>
        <w:pStyle w:val="37"/>
        <w:outlineLvl w:val="0"/>
        <w:rPr>
          <w:rStyle w:val="47"/>
          <w:rFonts w:ascii="宋体" w:hAnsi="宋体" w:eastAsia="宋体" w:cs="宋体"/>
          <w:b/>
          <w:color w:val="000000" w:themeColor="text1"/>
          <w:sz w:val="44"/>
          <w14:textFill>
            <w14:solidFill>
              <w14:schemeClr w14:val="tx1"/>
            </w14:solidFill>
          </w14:textFill>
        </w:rPr>
      </w:pPr>
      <w:bookmarkStart w:id="8" w:name="_Toc20541"/>
      <w:r>
        <w:rPr>
          <w:rStyle w:val="47"/>
          <w:rFonts w:hint="eastAsia" w:ascii="宋体" w:hAnsi="宋体" w:eastAsia="宋体" w:cs="宋体"/>
          <w:b/>
          <w:color w:val="000000" w:themeColor="text1"/>
          <w:sz w:val="44"/>
          <w14:textFill>
            <w14:solidFill>
              <w14:schemeClr w14:val="tx1"/>
            </w14:solidFill>
          </w14:textFill>
        </w:rPr>
        <w:t>第六章  投标文件格式</w:t>
      </w:r>
      <w:bookmarkEnd w:id="8"/>
    </w:p>
    <w:p>
      <w:pPr>
        <w:jc w:val="center"/>
        <w:rPr>
          <w:rStyle w:val="47"/>
          <w:rFonts w:ascii="宋体" w:hAnsi="宋体" w:cs="宋体"/>
          <w:b/>
          <w:color w:val="000000" w:themeColor="text1"/>
          <w:sz w:val="72"/>
          <w14:textFill>
            <w14:solidFill>
              <w14:schemeClr w14:val="tx1"/>
            </w14:solidFill>
          </w14:textFill>
        </w:rPr>
      </w:pPr>
    </w:p>
    <w:p>
      <w:pPr>
        <w:jc w:val="center"/>
        <w:outlineLvl w:val="0"/>
        <w:rPr>
          <w:rStyle w:val="47"/>
          <w:rFonts w:ascii="宋体" w:hAnsi="宋体" w:cs="宋体"/>
          <w:b/>
          <w:color w:val="000000" w:themeColor="text1"/>
          <w:sz w:val="72"/>
          <w14:textFill>
            <w14:solidFill>
              <w14:schemeClr w14:val="tx1"/>
            </w14:solidFill>
          </w14:textFill>
        </w:rPr>
      </w:pPr>
      <w:bookmarkStart w:id="9" w:name="_Toc26413"/>
      <w:r>
        <w:rPr>
          <w:rStyle w:val="47"/>
          <w:rFonts w:hint="eastAsia" w:ascii="宋体" w:hAnsi="宋体" w:cs="宋体"/>
          <w:b/>
          <w:color w:val="000000" w:themeColor="text1"/>
          <w:sz w:val="72"/>
          <w14:textFill>
            <w14:solidFill>
              <w14:schemeClr w14:val="tx1"/>
            </w14:solidFill>
          </w14:textFill>
        </w:rPr>
        <w:t>投  标  文  件</w:t>
      </w:r>
      <w:bookmarkEnd w:id="9"/>
    </w:p>
    <w:p>
      <w:pPr>
        <w:jc w:val="center"/>
        <w:outlineLvl w:val="0"/>
        <w:rPr>
          <w:rStyle w:val="47"/>
          <w:rFonts w:ascii="宋体" w:hAnsi="宋体" w:cs="宋体"/>
          <w:b/>
          <w:color w:val="000000" w:themeColor="text1"/>
          <w:sz w:val="72"/>
          <w14:textFill>
            <w14:solidFill>
              <w14:schemeClr w14:val="tx1"/>
            </w14:solidFill>
          </w14:textFill>
        </w:rPr>
      </w:pPr>
      <w:bookmarkStart w:id="10" w:name="_Toc17655"/>
      <w:r>
        <w:rPr>
          <w:rStyle w:val="47"/>
          <w:rFonts w:hint="eastAsia" w:ascii="宋体" w:hAnsi="宋体" w:cs="宋体"/>
          <w:b/>
          <w:color w:val="000000" w:themeColor="text1"/>
          <w:sz w:val="36"/>
          <w14:textFill>
            <w14:solidFill>
              <w14:schemeClr w14:val="tx1"/>
            </w14:solidFill>
          </w14:textFill>
        </w:rPr>
        <w:t>（正或副本）</w:t>
      </w:r>
      <w:bookmarkEnd w:id="10"/>
    </w:p>
    <w:p>
      <w:pPr>
        <w:jc w:val="center"/>
        <w:rPr>
          <w:rStyle w:val="47"/>
          <w:rFonts w:ascii="宋体" w:hAnsi="宋体" w:cs="宋体"/>
          <w:b/>
          <w:color w:val="000000" w:themeColor="text1"/>
          <w:sz w:val="72"/>
          <w14:textFill>
            <w14:solidFill>
              <w14:schemeClr w14:val="tx1"/>
            </w14:solidFill>
          </w14:textFill>
        </w:rPr>
      </w:pPr>
    </w:p>
    <w:p>
      <w:pPr>
        <w:jc w:val="center"/>
        <w:rPr>
          <w:rStyle w:val="47"/>
          <w:rFonts w:ascii="宋体" w:hAnsi="宋体" w:cs="宋体"/>
          <w:b/>
          <w:color w:val="000000" w:themeColor="text1"/>
          <w:sz w:val="36"/>
          <w14:textFill>
            <w14:solidFill>
              <w14:schemeClr w14:val="tx1"/>
            </w14:solidFill>
          </w14:textFill>
        </w:rPr>
      </w:pPr>
    </w:p>
    <w:p>
      <w:pPr>
        <w:jc w:val="center"/>
        <w:rPr>
          <w:rStyle w:val="47"/>
          <w:rFonts w:ascii="宋体" w:hAnsi="宋体" w:cs="宋体"/>
          <w:b/>
          <w:color w:val="000000" w:themeColor="text1"/>
          <w:sz w:val="36"/>
          <w14:textFill>
            <w14:solidFill>
              <w14:schemeClr w14:val="tx1"/>
            </w14:solidFill>
          </w14:textFill>
        </w:rPr>
      </w:pPr>
    </w:p>
    <w:p>
      <w:pPr>
        <w:jc w:val="center"/>
        <w:rPr>
          <w:rStyle w:val="47"/>
          <w:rFonts w:ascii="宋体" w:hAnsi="宋体" w:cs="宋体"/>
          <w:b/>
          <w:color w:val="000000" w:themeColor="text1"/>
          <w:sz w:val="36"/>
          <w14:textFill>
            <w14:solidFill>
              <w14:schemeClr w14:val="tx1"/>
            </w14:solidFill>
          </w14:textFill>
        </w:rPr>
      </w:pPr>
    </w:p>
    <w:p>
      <w:pPr>
        <w:ind w:firstLine="1084" w:firstLineChars="300"/>
        <w:outlineLvl w:val="0"/>
        <w:rPr>
          <w:rStyle w:val="47"/>
          <w:rFonts w:ascii="宋体" w:hAnsi="宋体" w:cs="宋体"/>
          <w:b/>
          <w:color w:val="000000" w:themeColor="text1"/>
          <w:sz w:val="36"/>
          <w14:textFill>
            <w14:solidFill>
              <w14:schemeClr w14:val="tx1"/>
            </w14:solidFill>
          </w14:textFill>
        </w:rPr>
      </w:pPr>
      <w:bookmarkStart w:id="11" w:name="_Toc8567"/>
      <w:r>
        <w:rPr>
          <w:rStyle w:val="47"/>
          <w:rFonts w:hint="eastAsia" w:ascii="宋体" w:hAnsi="宋体" w:cs="宋体"/>
          <w:b/>
          <w:color w:val="000000" w:themeColor="text1"/>
          <w:sz w:val="36"/>
          <w14:textFill>
            <w14:solidFill>
              <w14:schemeClr w14:val="tx1"/>
            </w14:solidFill>
          </w14:textFill>
        </w:rPr>
        <w:t>项 目 名 称：</w:t>
      </w:r>
      <w:bookmarkEnd w:id="11"/>
      <w:bookmarkStart w:id="62" w:name="_GoBack"/>
      <w:bookmarkEnd w:id="62"/>
    </w:p>
    <w:p>
      <w:pPr>
        <w:ind w:firstLine="1084" w:firstLineChars="300"/>
        <w:outlineLvl w:val="0"/>
        <w:rPr>
          <w:rStyle w:val="47"/>
          <w:rFonts w:ascii="宋体" w:hAnsi="宋体" w:cs="宋体"/>
          <w:b/>
          <w:color w:val="000000" w:themeColor="text1"/>
          <w:sz w:val="36"/>
          <w:u w:val="single" w:color="000000"/>
          <w14:textFill>
            <w14:solidFill>
              <w14:schemeClr w14:val="tx1"/>
            </w14:solidFill>
          </w14:textFill>
        </w:rPr>
      </w:pPr>
      <w:bookmarkStart w:id="12" w:name="_Toc20815"/>
      <w:r>
        <w:rPr>
          <w:rStyle w:val="47"/>
          <w:rFonts w:hint="eastAsia" w:ascii="宋体" w:hAnsi="宋体" w:cs="宋体"/>
          <w:b/>
          <w:color w:val="000000" w:themeColor="text1"/>
          <w:sz w:val="36"/>
          <w14:textFill>
            <w14:solidFill>
              <w14:schemeClr w14:val="tx1"/>
            </w14:solidFill>
          </w14:textFill>
        </w:rPr>
        <w:t>招 标 编 号：</w:t>
      </w:r>
      <w:bookmarkEnd w:id="12"/>
    </w:p>
    <w:p>
      <w:pPr>
        <w:ind w:firstLine="1084" w:firstLineChars="300"/>
        <w:outlineLvl w:val="0"/>
        <w:rPr>
          <w:rStyle w:val="47"/>
          <w:rFonts w:ascii="宋体" w:hAnsi="宋体" w:cs="宋体"/>
          <w:b/>
          <w:color w:val="000000" w:themeColor="text1"/>
          <w:sz w:val="36"/>
          <w:u w:val="single" w:color="000000"/>
          <w14:textFill>
            <w14:solidFill>
              <w14:schemeClr w14:val="tx1"/>
            </w14:solidFill>
          </w14:textFill>
        </w:rPr>
      </w:pPr>
      <w:bookmarkStart w:id="13" w:name="_Toc15597"/>
      <w:r>
        <w:rPr>
          <w:rStyle w:val="47"/>
          <w:rFonts w:hint="eastAsia" w:ascii="宋体" w:hAnsi="宋体" w:cs="宋体"/>
          <w:b/>
          <w:color w:val="000000" w:themeColor="text1"/>
          <w:sz w:val="36"/>
          <w14:textFill>
            <w14:solidFill>
              <w14:schemeClr w14:val="tx1"/>
            </w14:solidFill>
          </w14:textFill>
        </w:rPr>
        <w:t>投标人名称 ：</w:t>
      </w:r>
      <w:bookmarkEnd w:id="13"/>
    </w:p>
    <w:p>
      <w:pPr>
        <w:ind w:firstLine="1084" w:firstLineChars="300"/>
        <w:outlineLvl w:val="0"/>
        <w:rPr>
          <w:rStyle w:val="47"/>
          <w:rFonts w:ascii="宋体" w:hAnsi="宋体" w:cs="宋体"/>
          <w:b/>
          <w:color w:val="000000" w:themeColor="text1"/>
          <w:sz w:val="36"/>
          <w14:textFill>
            <w14:solidFill>
              <w14:schemeClr w14:val="tx1"/>
            </w14:solidFill>
          </w14:textFill>
        </w:rPr>
      </w:pPr>
      <w:bookmarkStart w:id="14" w:name="_Toc26387"/>
      <w:r>
        <w:rPr>
          <w:rStyle w:val="47"/>
          <w:rFonts w:hint="eastAsia" w:ascii="宋体" w:hAnsi="宋体" w:cs="宋体"/>
          <w:b/>
          <w:color w:val="000000" w:themeColor="text1"/>
          <w:sz w:val="36"/>
          <w14:textFill>
            <w14:solidFill>
              <w14:schemeClr w14:val="tx1"/>
            </w14:solidFill>
          </w14:textFill>
        </w:rPr>
        <w:t>日      期 ：</w:t>
      </w:r>
      <w:bookmarkEnd w:id="14"/>
    </w:p>
    <w:p>
      <w:pPr>
        <w:spacing w:line="440" w:lineRule="exact"/>
        <w:jc w:val="center"/>
        <w:rPr>
          <w:rStyle w:val="47"/>
          <w:rFonts w:ascii="宋体" w:hAnsi="宋体" w:cs="宋体"/>
          <w:b/>
          <w:bCs/>
          <w:color w:val="000000" w:themeColor="text1"/>
          <w:sz w:val="32"/>
          <w:szCs w:val="32"/>
          <w14:textFill>
            <w14:solidFill>
              <w14:schemeClr w14:val="tx1"/>
            </w14:solidFill>
          </w14:textFill>
        </w:rPr>
      </w:pPr>
    </w:p>
    <w:p>
      <w:pPr>
        <w:spacing w:line="440" w:lineRule="exact"/>
        <w:ind w:firstLine="480" w:firstLineChars="200"/>
        <w:rPr>
          <w:rStyle w:val="47"/>
          <w:rFonts w:ascii="宋体" w:hAnsi="宋体" w:cs="宋体"/>
          <w:color w:val="000000" w:themeColor="text1"/>
          <w:sz w:val="24"/>
          <w14:textFill>
            <w14:solidFill>
              <w14:schemeClr w14:val="tx1"/>
            </w14:solidFill>
          </w14:textFill>
        </w:rPr>
      </w:pPr>
    </w:p>
    <w:p>
      <w:pPr>
        <w:spacing w:line="440" w:lineRule="exact"/>
        <w:ind w:firstLine="480" w:firstLineChars="200"/>
        <w:rPr>
          <w:rStyle w:val="47"/>
          <w:rFonts w:ascii="宋体" w:hAnsi="宋体" w:cs="宋体"/>
          <w:color w:val="000000" w:themeColor="text1"/>
          <w:sz w:val="24"/>
          <w14:textFill>
            <w14:solidFill>
              <w14:schemeClr w14:val="tx1"/>
            </w14:solidFill>
          </w14:textFill>
        </w:rPr>
      </w:pPr>
    </w:p>
    <w:p>
      <w:pPr>
        <w:spacing w:line="440" w:lineRule="exact"/>
        <w:rPr>
          <w:rStyle w:val="47"/>
          <w:rFonts w:ascii="宋体" w:hAnsi="宋体" w:cs="宋体"/>
          <w:color w:val="000000" w:themeColor="text1"/>
          <w:sz w:val="24"/>
          <w14:textFill>
            <w14:solidFill>
              <w14:schemeClr w14:val="tx1"/>
            </w14:solidFill>
          </w14:textFill>
        </w:rPr>
      </w:pPr>
    </w:p>
    <w:p>
      <w:pPr>
        <w:pStyle w:val="7"/>
        <w:rPr>
          <w:rStyle w:val="47"/>
          <w:rFonts w:ascii="宋体" w:hAnsi="宋体" w:eastAsia="宋体" w:cs="宋体"/>
          <w:b w:val="0"/>
          <w:color w:val="000000" w:themeColor="text1"/>
          <w:sz w:val="24"/>
          <w:szCs w:val="21"/>
          <w14:textFill>
            <w14:solidFill>
              <w14:schemeClr w14:val="tx1"/>
            </w14:solidFill>
          </w14:textFill>
        </w:rPr>
      </w:pPr>
    </w:p>
    <w:p>
      <w:pPr>
        <w:rPr>
          <w:rStyle w:val="47"/>
          <w:rFonts w:ascii="宋体" w:hAnsi="宋体" w:cs="宋体"/>
          <w:color w:val="000000" w:themeColor="text1"/>
          <w:sz w:val="24"/>
          <w14:textFill>
            <w14:solidFill>
              <w14:schemeClr w14:val="tx1"/>
            </w14:solidFill>
          </w14:textFill>
        </w:rPr>
      </w:pPr>
    </w:p>
    <w:p>
      <w:pPr>
        <w:rPr>
          <w:rStyle w:val="47"/>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5"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noWrap/>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noWrap/>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noWrap/>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6" w:name="_Toc16079"/>
    </w:p>
    <w:p>
      <w:pPr>
        <w:jc w:val="center"/>
        <w:outlineLvl w:val="0"/>
        <w:rPr>
          <w:rFonts w:ascii="宋体" w:hAnsi="宋体" w:cs="宋体"/>
          <w:b/>
          <w:bCs/>
          <w:color w:val="000000" w:themeColor="text1"/>
          <w:sz w:val="32"/>
          <w:szCs w:val="32"/>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投标主要文件目录</w:t>
      </w:r>
      <w:bookmarkEnd w:id="16"/>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7"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7"/>
    </w:p>
    <w:p>
      <w:pPr>
        <w:ind w:firstLine="482" w:firstLineChars="200"/>
        <w:outlineLvl w:val="0"/>
        <w:rPr>
          <w:rFonts w:ascii="宋体" w:hAnsi="宋体" w:cs="宋体"/>
          <w:color w:val="000000" w:themeColor="text1"/>
          <w:sz w:val="24"/>
          <w14:textFill>
            <w14:solidFill>
              <w14:schemeClr w14:val="tx1"/>
            </w14:solidFill>
          </w14:textFill>
        </w:rPr>
      </w:pPr>
      <w:bookmarkStart w:id="18"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8"/>
    </w:p>
    <w:p>
      <w:pPr>
        <w:ind w:firstLine="480" w:firstLineChars="200"/>
        <w:outlineLvl w:val="0"/>
        <w:rPr>
          <w:rFonts w:ascii="宋体" w:hAnsi="宋体" w:cs="宋体"/>
          <w:bCs/>
          <w:color w:val="000000" w:themeColor="text1"/>
          <w:sz w:val="24"/>
          <w14:textFill>
            <w14:solidFill>
              <w14:schemeClr w14:val="tx1"/>
            </w14:solidFill>
          </w14:textFill>
        </w:rPr>
      </w:pPr>
      <w:bookmarkStart w:id="19" w:name="_Toc17993"/>
      <w:r>
        <w:rPr>
          <w:rFonts w:hint="eastAsia" w:ascii="宋体" w:hAnsi="宋体" w:cs="宋体"/>
          <w:color w:val="000000" w:themeColor="text1"/>
          <w:sz w:val="24"/>
          <w14:textFill>
            <w14:solidFill>
              <w14:schemeClr w14:val="tx1"/>
            </w14:solidFill>
          </w14:textFill>
        </w:rPr>
        <w:t>三、符合性检查响应对照表</w:t>
      </w:r>
      <w:bookmarkEnd w:id="19"/>
    </w:p>
    <w:p>
      <w:pPr>
        <w:ind w:firstLine="480" w:firstLineChars="200"/>
        <w:outlineLvl w:val="0"/>
        <w:rPr>
          <w:rFonts w:ascii="宋体" w:hAnsi="宋体" w:cs="宋体"/>
          <w:color w:val="000000" w:themeColor="text1"/>
          <w:sz w:val="24"/>
          <w14:textFill>
            <w14:solidFill>
              <w14:schemeClr w14:val="tx1"/>
            </w14:solidFill>
          </w14:textFill>
        </w:rPr>
      </w:pPr>
      <w:bookmarkStart w:id="20" w:name="_Toc4466"/>
      <w:r>
        <w:rPr>
          <w:rFonts w:hint="eastAsia" w:ascii="宋体" w:hAnsi="宋体" w:cs="宋体"/>
          <w:color w:val="000000" w:themeColor="text1"/>
          <w:sz w:val="24"/>
          <w14:textFill>
            <w14:solidFill>
              <w14:schemeClr w14:val="tx1"/>
            </w14:solidFill>
          </w14:textFill>
        </w:rPr>
        <w:t>四、投标函</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1256"/>
      <w:r>
        <w:rPr>
          <w:rFonts w:hint="eastAsia" w:ascii="宋体" w:hAnsi="宋体" w:cs="宋体"/>
          <w:color w:val="000000" w:themeColor="text1"/>
          <w:sz w:val="24"/>
          <w14:textFill>
            <w14:solidFill>
              <w14:schemeClr w14:val="tx1"/>
            </w14:solidFill>
          </w14:textFill>
        </w:rPr>
        <w:t>六、投标配置与分项报价表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13614"/>
      <w:r>
        <w:rPr>
          <w:rFonts w:hint="eastAsia" w:ascii="宋体" w:hAnsi="宋体" w:cs="宋体"/>
          <w:color w:val="000000" w:themeColor="text1"/>
          <w:sz w:val="24"/>
          <w14:textFill>
            <w14:solidFill>
              <w14:schemeClr w14:val="tx1"/>
            </w14:solidFill>
          </w14:textFill>
        </w:rPr>
        <w:t>八、商务条款响应及偏离表</w:t>
      </w:r>
      <w:bookmarkEnd w:id="24"/>
    </w:p>
    <w:p>
      <w:pPr>
        <w:ind w:firstLine="480" w:firstLineChars="200"/>
        <w:outlineLvl w:val="0"/>
        <w:rPr>
          <w:rFonts w:ascii="宋体" w:hAnsi="宋体" w:cs="宋体"/>
          <w:color w:val="000000" w:themeColor="text1"/>
          <w:sz w:val="24"/>
          <w14:textFill>
            <w14:solidFill>
              <w14:schemeClr w14:val="tx1"/>
            </w14:solidFill>
          </w14:textFill>
        </w:rPr>
      </w:pPr>
      <w:bookmarkStart w:id="25" w:name="_Toc25377"/>
      <w:r>
        <w:rPr>
          <w:rFonts w:hint="eastAsia" w:ascii="宋体" w:hAnsi="宋体" w:cs="宋体"/>
          <w:color w:val="000000" w:themeColor="text1"/>
          <w:sz w:val="24"/>
          <w14:textFill>
            <w14:solidFill>
              <w14:schemeClr w14:val="tx1"/>
            </w14:solidFill>
          </w14:textFill>
        </w:rPr>
        <w:t>九、技术方案、服务承诺、培训承诺等</w:t>
      </w:r>
      <w:bookmarkEnd w:id="25"/>
    </w:p>
    <w:p>
      <w:pPr>
        <w:ind w:firstLine="480" w:firstLineChars="200"/>
        <w:outlineLvl w:val="0"/>
        <w:rPr>
          <w:rFonts w:ascii="宋体" w:hAnsi="宋体" w:cs="宋体"/>
          <w:color w:val="000000" w:themeColor="text1"/>
          <w14:textFill>
            <w14:solidFill>
              <w14:schemeClr w14:val="tx1"/>
            </w14:solidFill>
          </w14:textFill>
        </w:rPr>
      </w:pPr>
      <w:bookmarkStart w:id="26" w:name="_Toc28209"/>
      <w:r>
        <w:rPr>
          <w:rFonts w:hint="eastAsia" w:ascii="宋体" w:hAnsi="宋体" w:cs="宋体"/>
          <w:color w:val="000000" w:themeColor="text1"/>
          <w:sz w:val="24"/>
          <w:szCs w:val="24"/>
          <w14:textFill>
            <w14:solidFill>
              <w14:schemeClr w14:val="tx1"/>
            </w14:solidFill>
          </w14:textFill>
        </w:rPr>
        <w:t>十、中小企业声明函</w:t>
      </w:r>
      <w:bookmarkEnd w:id="26"/>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7" w:name="_Toc13879"/>
      <w:r>
        <w:rPr>
          <w:rFonts w:hint="eastAsia" w:ascii="宋体" w:hAnsi="宋体" w:cs="宋体"/>
          <w:color w:val="000000" w:themeColor="text1"/>
          <w:sz w:val="24"/>
          <w14:textFill>
            <w14:solidFill>
              <w14:schemeClr w14:val="tx1"/>
            </w14:solidFill>
          </w14:textFill>
        </w:rPr>
        <w:t>十一、盐城市政府采购事前信用承诺书</w:t>
      </w:r>
      <w:bookmarkEnd w:id="27"/>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p>
    <w:bookmarkEnd w:id="15"/>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8"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8"/>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2、非实质性资信证明文件目录</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格式1 《企业申明函》</w:t>
      </w: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39"/>
        <w:spacing w:line="240" w:lineRule="atLeast"/>
        <w:rPr>
          <w:rStyle w:val="47"/>
          <w:rFonts w:ascii="宋体" w:hAnsi="宋体" w:cs="宋体"/>
          <w:color w:val="000000" w:themeColor="text1"/>
          <w:sz w:val="24"/>
          <w:szCs w:val="24"/>
          <w14:textFill>
            <w14:solidFill>
              <w14:schemeClr w14:val="tx1"/>
            </w14:solidFill>
          </w14:textFill>
        </w:rPr>
      </w:pPr>
    </w:p>
    <w:p>
      <w:pPr>
        <w:pStyle w:val="5"/>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5"/>
        <w:rPr>
          <w:rFonts w:ascii="宋体" w:hAnsi="宋体" w:cs="宋体"/>
          <w:color w:val="000000" w:themeColor="text1"/>
          <w:sz w:val="24"/>
          <w:szCs w:val="24"/>
          <w14:textFill>
            <w14:solidFill>
              <w14:schemeClr w14:val="tx1"/>
            </w14:solidFill>
          </w14:textFill>
        </w:rPr>
      </w:pPr>
      <w:bookmarkStart w:id="29" w:name="_Hlt26955070"/>
      <w:bookmarkEnd w:id="29"/>
      <w:bookmarkStart w:id="30" w:name="_Hlt26671380"/>
      <w:bookmarkEnd w:id="30"/>
      <w:bookmarkStart w:id="31" w:name="_格式3__银行出具的资信证明"/>
      <w:bookmarkEnd w:id="31"/>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3"/>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b/>
                <w:color w:val="000000" w:themeColor="text1"/>
                <w14:textFill>
                  <w14:solidFill>
                    <w14:schemeClr w14:val="tx1"/>
                  </w14:solidFill>
                </w14:textFill>
              </w:rPr>
            </w:pPr>
          </w:p>
        </w:tc>
        <w:tc>
          <w:tcPr>
            <w:tcW w:w="1785" w:type="dxa"/>
            <w:noWrap/>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noWrap/>
            <w:vAlign w:val="center"/>
          </w:tcPr>
          <w:p>
            <w:pPr>
              <w:jc w:val="center"/>
              <w:rPr>
                <w:rFonts w:ascii="宋体" w:hAnsi="宋体" w:cs="宋体"/>
                <w:color w:val="000000" w:themeColor="text1"/>
                <w14:textFill>
                  <w14:solidFill>
                    <w14:schemeClr w14:val="tx1"/>
                  </w14:solidFill>
                </w14:textFill>
              </w:rPr>
            </w:pPr>
          </w:p>
        </w:tc>
        <w:tc>
          <w:tcPr>
            <w:tcW w:w="1785" w:type="dxa"/>
            <w:noWrap/>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2"/>
        <w:rPr>
          <w:rFonts w:ascii="宋体"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4" w:name="_Toc13422"/>
      <w:r>
        <w:rPr>
          <w:rFonts w:hint="eastAsia" w:ascii="宋体" w:hAnsi="宋体" w:cs="宋体"/>
          <w:color w:val="000000" w:themeColor="text1"/>
          <w:sz w:val="32"/>
          <w:szCs w:val="32"/>
          <w14:textFill>
            <w14:solidFill>
              <w14:schemeClr w14:val="tx1"/>
            </w14:solidFill>
          </w14:textFill>
        </w:rPr>
        <w:t>四、投标函（格式）</w:t>
      </w:r>
      <w:bookmarkEnd w:id="34"/>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color w:val="000000" w:themeColor="text1"/>
          <w:sz w:val="24"/>
          <w:szCs w:val="20"/>
          <w14:textFill>
            <w14:solidFill>
              <w14:schemeClr w14:val="tx1"/>
            </w14:solidFill>
          </w14:textFill>
        </w:rPr>
      </w:pPr>
    </w:p>
    <w:p>
      <w:pPr>
        <w:jc w:val="center"/>
        <w:rPr>
          <w:rStyle w:val="47"/>
          <w:rFonts w:ascii="宋体" w:hAnsi="宋体" w:cs="宋体"/>
          <w:b/>
          <w:color w:val="000000" w:themeColor="text1"/>
          <w:sz w:val="32"/>
          <w:szCs w:val="32"/>
          <w14:textFill>
            <w14:solidFill>
              <w14:schemeClr w14:val="tx1"/>
            </w14:solidFill>
          </w14:textFill>
        </w:rPr>
      </w:pPr>
    </w:p>
    <w:p>
      <w:pPr>
        <w:pStyle w:val="21"/>
        <w:rPr>
          <w:color w:val="000000" w:themeColor="text1"/>
          <w14:textFill>
            <w14:solidFill>
              <w14:schemeClr w14:val="tx1"/>
            </w14:solidFill>
          </w14:textFill>
        </w:rPr>
      </w:pPr>
    </w:p>
    <w:p>
      <w:pPr>
        <w:snapToGrid w:val="0"/>
        <w:spacing w:before="50" w:after="50"/>
        <w:rPr>
          <w:rStyle w:val="47"/>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bookmarkStart w:id="35" w:name="_Toc3373"/>
    </w:p>
    <w:p>
      <w:pPr>
        <w:snapToGrid w:val="0"/>
        <w:spacing w:before="50" w:after="50"/>
        <w:jc w:val="center"/>
        <w:outlineLvl w:val="0"/>
        <w:rPr>
          <w:rStyle w:val="47"/>
          <w:rFonts w:ascii="宋体" w:hAnsi="宋体" w:cs="宋体"/>
          <w:color w:val="000000" w:themeColor="text1"/>
          <w:sz w:val="32"/>
          <w:szCs w:val="32"/>
          <w14:textFill>
            <w14:solidFill>
              <w14:schemeClr w14:val="tx1"/>
            </w14:solidFill>
          </w14:textFill>
        </w:rPr>
      </w:pPr>
      <w:r>
        <w:rPr>
          <w:rStyle w:val="47"/>
          <w:rFonts w:hint="eastAsia" w:ascii="宋体" w:hAnsi="宋体" w:cs="宋体"/>
          <w:color w:val="000000" w:themeColor="text1"/>
          <w:sz w:val="32"/>
          <w:szCs w:val="32"/>
          <w14:textFill>
            <w14:solidFill>
              <w14:schemeClr w14:val="tx1"/>
            </w14:solidFill>
          </w14:textFill>
        </w:rPr>
        <w:t>五、开标一览表（格式）</w:t>
      </w:r>
      <w:bookmarkEnd w:id="35"/>
    </w:p>
    <w:p>
      <w:pPr>
        <w:snapToGrid w:val="0"/>
        <w:spacing w:before="50" w:after="50"/>
        <w:jc w:val="center"/>
        <w:rPr>
          <w:rStyle w:val="47"/>
          <w:rFonts w:ascii="宋体" w:hAnsi="宋体" w:cs="宋体"/>
          <w:color w:val="000000" w:themeColor="text1"/>
          <w:sz w:val="32"/>
          <w:szCs w:val="32"/>
          <w14:textFill>
            <w14:solidFill>
              <w14:schemeClr w14:val="tx1"/>
            </w14:solidFill>
          </w14:textFill>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color w:val="000000" w:themeColor="text1"/>
                <w:szCs w:val="28"/>
                <w14:textFill>
                  <w14:solidFill>
                    <w14:schemeClr w14:val="tx1"/>
                  </w14:solidFill>
                </w14:textFill>
              </w:rPr>
            </w:pPr>
            <w:r>
              <w:rPr>
                <w:rStyle w:val="47"/>
                <w:rFonts w:hint="eastAsia" w:ascii="宋体" w:hAnsi="宋体" w:cs="宋体"/>
                <w:b/>
                <w:bCs/>
                <w:color w:val="000000" w:themeColor="text1"/>
                <w:szCs w:val="28"/>
                <w14:textFill>
                  <w14:solidFill>
                    <w14:schemeClr w14:val="tx1"/>
                  </w14:solidFill>
                </w14:textFill>
              </w:rPr>
              <w:t>是否提供《企业类型声明函》：</w:t>
            </w:r>
            <w:r>
              <w:rPr>
                <w:rStyle w:val="47"/>
                <w:rFonts w:hint="eastAsia" w:ascii="宋体" w:hAnsi="宋体" w:cs="宋体"/>
                <w:b/>
                <w:bCs/>
                <w:color w:val="000000" w:themeColor="text1"/>
                <w:szCs w:val="28"/>
                <w:u w:val="single"/>
                <w14:textFill>
                  <w14:solidFill>
                    <w14:schemeClr w14:val="tx1"/>
                  </w14:solidFill>
                </w14:textFill>
              </w:rPr>
              <w:t xml:space="preserve"> 是/否 见（   ）页</w:t>
            </w:r>
          </w:p>
        </w:tc>
      </w:tr>
    </w:tbl>
    <w:p>
      <w:pPr>
        <w:spacing w:line="240" w:lineRule="atLeast"/>
        <w:rPr>
          <w:rStyle w:val="47"/>
          <w:rFonts w:ascii="宋体" w:hAnsi="宋体" w:cs="宋体"/>
          <w:color w:val="000000" w:themeColor="text1"/>
          <w:szCs w:val="28"/>
          <w14:textFill>
            <w14:solidFill>
              <w14:schemeClr w14:val="tx1"/>
            </w14:solidFill>
          </w14:textFill>
        </w:rPr>
      </w:pPr>
    </w:p>
    <w:p>
      <w:pPr>
        <w:spacing w:line="240" w:lineRule="atLeast"/>
        <w:rPr>
          <w:rStyle w:val="47"/>
          <w:rFonts w:ascii="宋体" w:hAnsi="宋体" w:cs="宋体"/>
          <w:color w:val="000000" w:themeColor="text1"/>
          <w:szCs w:val="28"/>
          <w14:textFill>
            <w14:solidFill>
              <w14:schemeClr w14:val="tx1"/>
            </w14:solidFill>
          </w14:textFill>
        </w:rPr>
      </w:pPr>
      <w:r>
        <w:rPr>
          <w:rStyle w:val="47"/>
          <w:rFonts w:hint="eastAsia" w:ascii="宋体" w:hAnsi="宋体" w:cs="宋体"/>
          <w:color w:val="000000" w:themeColor="text1"/>
          <w:szCs w:val="28"/>
          <w14:textFill>
            <w14:solidFill>
              <w14:schemeClr w14:val="tx1"/>
            </w14:solidFill>
          </w14:textFill>
        </w:rPr>
        <w:t>填写说明：</w:t>
      </w:r>
    </w:p>
    <w:p>
      <w:pPr>
        <w:numPr>
          <w:ilvl w:val="0"/>
          <w:numId w:val="4"/>
        </w:numPr>
        <w:rPr>
          <w:rStyle w:val="47"/>
          <w:rFonts w:ascii="宋体" w:hAnsi="宋体" w:cs="宋体"/>
          <w:color w:val="000000" w:themeColor="text1"/>
          <w:sz w:val="24"/>
          <w14:textFill>
            <w14:solidFill>
              <w14:schemeClr w14:val="tx1"/>
            </w14:solidFill>
          </w14:textFill>
        </w:rPr>
      </w:pPr>
      <w:r>
        <w:rPr>
          <w:rStyle w:val="47"/>
          <w:rFonts w:hint="eastAsia" w:ascii="宋体" w:hAnsi="宋体" w:cs="宋体"/>
          <w:color w:val="000000" w:themeColor="text1"/>
          <w:sz w:val="24"/>
          <w14:textFill>
            <w14:solidFill>
              <w14:schemeClr w14:val="tx1"/>
            </w14:solidFill>
          </w14:textFill>
        </w:rPr>
        <w:t>开标一览表不得填报选择性报价，否则将作为无效投标；</w:t>
      </w:r>
    </w:p>
    <w:p>
      <w:pPr>
        <w:numPr>
          <w:ilvl w:val="0"/>
          <w:numId w:val="4"/>
        </w:numPr>
        <w:rPr>
          <w:rStyle w:val="47"/>
          <w:rFonts w:ascii="宋体" w:hAnsi="宋体" w:cs="宋体"/>
          <w:color w:val="000000" w:themeColor="text1"/>
          <w:sz w:val="24"/>
          <w14:textFill>
            <w14:solidFill>
              <w14:schemeClr w14:val="tx1"/>
            </w14:solidFill>
          </w14:textFill>
        </w:rPr>
      </w:pPr>
      <w:r>
        <w:rPr>
          <w:rStyle w:val="47"/>
          <w:rFonts w:hint="eastAsia" w:ascii="宋体" w:hAnsi="宋体" w:cs="宋体"/>
          <w:color w:val="000000" w:themeColor="text1"/>
          <w:sz w:val="24"/>
          <w14:textFill>
            <w14:solidFill>
              <w14:schemeClr w14:val="tx1"/>
            </w14:solidFill>
          </w14:textFill>
        </w:rPr>
        <w:t>开标一览表中报价与投标分项明细报价表中不符时时，以开标一览表为准；</w:t>
      </w:r>
    </w:p>
    <w:p>
      <w:pPr>
        <w:ind w:firstLine="2640" w:firstLineChars="600"/>
        <w:rPr>
          <w:rStyle w:val="47"/>
          <w:rFonts w:ascii="宋体" w:hAnsi="宋体" w:cs="宋体"/>
          <w:color w:val="000000" w:themeColor="text1"/>
          <w:sz w:val="44"/>
          <w14:textFill>
            <w14:solidFill>
              <w14:schemeClr w14:val="tx1"/>
            </w14:solidFill>
          </w14:textFill>
        </w:rPr>
      </w:pPr>
    </w:p>
    <w:p>
      <w:pPr>
        <w:ind w:firstLine="480"/>
        <w:rPr>
          <w:rStyle w:val="47"/>
          <w:rFonts w:ascii="宋体" w:hAnsi="宋体" w:cs="宋体"/>
          <w:color w:val="000000" w:themeColor="text1"/>
          <w:sz w:val="24"/>
          <w14:textFill>
            <w14:solidFill>
              <w14:schemeClr w14:val="tx1"/>
            </w14:solidFill>
          </w14:textFill>
        </w:rPr>
      </w:pPr>
    </w:p>
    <w:p>
      <w:pPr>
        <w:ind w:firstLine="480"/>
        <w:rPr>
          <w:rStyle w:val="47"/>
          <w:rFonts w:ascii="宋体" w:hAnsi="宋体" w:cs="宋体"/>
          <w:color w:val="000000" w:themeColor="text1"/>
          <w:sz w:val="24"/>
          <w14:textFill>
            <w14:solidFill>
              <w14:schemeClr w14:val="tx1"/>
            </w14:solidFill>
          </w14:textFill>
        </w:rPr>
      </w:pPr>
    </w:p>
    <w:p>
      <w:pPr>
        <w:ind w:firstLine="480"/>
        <w:jc w:val="center"/>
        <w:rPr>
          <w:rStyle w:val="47"/>
          <w:rFonts w:ascii="宋体" w:hAnsi="宋体" w:cs="宋体"/>
          <w:color w:val="000000" w:themeColor="text1"/>
          <w:sz w:val="24"/>
          <w14:textFill>
            <w14:solidFill>
              <w14:schemeClr w14:val="tx1"/>
            </w14:solidFill>
          </w14:textFill>
        </w:rPr>
      </w:pPr>
      <w:r>
        <w:rPr>
          <w:rStyle w:val="47"/>
          <w:rFonts w:hint="eastAsia" w:ascii="宋体" w:hAnsi="宋体" w:cs="宋体"/>
          <w:bCs/>
          <w:color w:val="000000" w:themeColor="text1"/>
          <w:sz w:val="24"/>
          <w14:textFill>
            <w14:solidFill>
              <w14:schemeClr w14:val="tx1"/>
            </w14:solidFill>
          </w14:textFill>
        </w:rPr>
        <w:t xml:space="preserve">                                        供应商名称（公章）：</w:t>
      </w:r>
    </w:p>
    <w:p>
      <w:pPr>
        <w:ind w:firstLine="480"/>
        <w:rPr>
          <w:rStyle w:val="47"/>
          <w:rFonts w:ascii="宋体" w:hAnsi="宋体" w:cs="宋体"/>
          <w:color w:val="000000" w:themeColor="text1"/>
          <w:sz w:val="24"/>
          <w14:textFill>
            <w14:solidFill>
              <w14:schemeClr w14:val="tx1"/>
            </w14:solidFill>
          </w14:textFill>
        </w:rPr>
      </w:pPr>
      <w:r>
        <w:rPr>
          <w:rStyle w:val="47"/>
          <w:rFonts w:hint="eastAsia" w:ascii="宋体" w:hAnsi="宋体" w:cs="宋体"/>
          <w:color w:val="000000" w:themeColor="text1"/>
          <w:sz w:val="24"/>
          <w14:textFill>
            <w14:solidFill>
              <w14:schemeClr w14:val="tx1"/>
            </w14:solidFill>
          </w14:textFill>
        </w:rPr>
        <w:t xml:space="preserve">                                              日期： 年月日</w:t>
      </w:r>
    </w:p>
    <w:p>
      <w:pPr>
        <w:pStyle w:val="21"/>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bookmarkStart w:id="36" w:name="_Toc11803"/>
      <w:bookmarkStart w:id="37" w:name="_Toc13776"/>
      <w:bookmarkStart w:id="38" w:name="_Toc10977"/>
      <w:bookmarkStart w:id="39" w:name="_Toc515647824"/>
    </w:p>
    <w:bookmarkEnd w:id="36"/>
    <w:bookmarkEnd w:id="37"/>
    <w:bookmarkEnd w:id="38"/>
    <w:bookmarkEnd w:id="39"/>
    <w:p>
      <w:pPr>
        <w:pStyle w:val="4"/>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附件：1、中小企业声明函（货物）</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b/>
          <w:color w:val="000000" w:themeColor="text1"/>
          <w:szCs w:val="24"/>
          <w14:textFill>
            <w14:solidFill>
              <w14:schemeClr w14:val="tx1"/>
            </w14:solidFill>
          </w14:textFill>
        </w:rPr>
        <w:t>工业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r>
        <w:rPr>
          <w:rFonts w:hint="eastAsia"/>
          <w:b/>
          <w:color w:val="000000" w:themeColor="text1"/>
          <w:shd w:val="clear" w:color="auto" w:fill="FFFFFF"/>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本公司（联合体）郑重声明，根据《政府采购促进中小企业发展管理办法》（财库﹝2020﹞46 号）的规定，本公司（联合体）参加</w:t>
      </w:r>
      <w:r>
        <w:rPr>
          <w:rFonts w:hint="eastAsia"/>
          <w:color w:val="000000" w:themeColor="text1"/>
          <w:u w:val="single"/>
          <w:shd w:val="clear" w:color="auto" w:fill="FFFFFF"/>
          <w14:textFill>
            <w14:solidFill>
              <w14:schemeClr w14:val="tx1"/>
            </w14:solidFill>
          </w14:textFill>
        </w:rPr>
        <w:t>（单位名称）</w:t>
      </w:r>
      <w:r>
        <w:rPr>
          <w:rFonts w:hint="eastAsia"/>
          <w:color w:val="000000" w:themeColor="text1"/>
          <w:shd w:val="clear" w:color="auto" w:fill="FFFFFF"/>
          <w14:textFill>
            <w14:solidFill>
              <w14:schemeClr w14:val="tx1"/>
            </w14:solidFill>
          </w14:textFill>
        </w:rPr>
        <w:t>的</w:t>
      </w:r>
      <w:r>
        <w:rPr>
          <w:rFonts w:hint="eastAsia"/>
          <w:color w:val="000000" w:themeColor="text1"/>
          <w:u w:val="single"/>
          <w:shd w:val="clear" w:color="auto" w:fill="FFFFFF"/>
          <w14:textFill>
            <w14:solidFill>
              <w14:schemeClr w14:val="tx1"/>
            </w14:solidFill>
          </w14:textFill>
        </w:rPr>
        <w:t>（项目名称）</w:t>
      </w:r>
      <w:r>
        <w:rPr>
          <w:rFonts w:hint="eastAsia"/>
          <w:color w:val="000000" w:themeColor="text1"/>
          <w:shd w:val="clear" w:color="auto" w:fill="FFFFFF"/>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（采购文件中明确的所属行业）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840"/>
        <w:rPr>
          <w:color w:val="000000" w:themeColor="text1"/>
          <w14:textFill>
            <w14:solidFill>
              <w14:schemeClr w14:val="tx1"/>
            </w14:solidFill>
          </w14:textFill>
        </w:rPr>
      </w:pP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14:textFill>
            <w14:solidFill>
              <w14:schemeClr w14:val="tx1"/>
            </w14:solidFill>
          </w14:textFill>
        </w:rPr>
        <w:t>（采购文件中明确的所属行业）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本企业对上述声明内容的真实性负责。如有虚假，将依法承担相应责任。</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企业名称（盖章）：</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日期：</w:t>
      </w:r>
    </w:p>
    <w:p>
      <w:pPr>
        <w:pStyle w:val="19"/>
        <w:shd w:val="clear" w:color="auto" w:fill="FFFFFF"/>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b/>
          <w:color w:val="000000" w:themeColor="text1"/>
          <w:shd w:val="clear" w:color="auto" w:fill="FFFFFF"/>
          <w14:textFill>
            <w14:solidFill>
              <w14:schemeClr w14:val="tx1"/>
            </w14:solidFill>
          </w14:textFill>
        </w:rPr>
        <w:t>从业人员、营业收入、资产总额填报上一年度数据，无上一年度数据的新成立企业可不填报。</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pgBorders>
            <w:top w:val="none" w:sz="0" w:space="0"/>
            <w:left w:val="none" w:sz="0" w:space="0"/>
            <w:bottom w:val="none" w:sz="0" w:space="0"/>
            <w:right w:val="none" w:sz="0" w:space="0"/>
          </w:pgBorders>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40"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六、投标产品配置及分项报价表（格式）</w:t>
      </w:r>
      <w:bookmarkEnd w:id="40"/>
    </w:p>
    <w:p>
      <w:pPr>
        <w:snapToGrid w:val="0"/>
        <w:spacing w:before="50" w:after="50"/>
        <w:jc w:val="center"/>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902"/>
        <w:gridCol w:w="2421"/>
        <w:gridCol w:w="850"/>
        <w:gridCol w:w="736"/>
        <w:gridCol w:w="1107"/>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货物名称</w:t>
            </w:r>
          </w:p>
        </w:tc>
        <w:tc>
          <w:tcPr>
            <w:tcW w:w="2421"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规格、型号</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数量</w:t>
            </w:r>
          </w:p>
        </w:tc>
        <w:tc>
          <w:tcPr>
            <w:tcW w:w="1107"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单价</w:t>
            </w:r>
          </w:p>
        </w:tc>
        <w:tc>
          <w:tcPr>
            <w:tcW w:w="1085"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w:t>
            </w:r>
          </w:p>
        </w:tc>
        <w:tc>
          <w:tcPr>
            <w:tcW w:w="1085"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w:t>
            </w:r>
          </w:p>
        </w:tc>
        <w:tc>
          <w:tcPr>
            <w:tcW w:w="1902" w:type="dxa"/>
            <w:noWrap/>
            <w:vAlign w:val="center"/>
          </w:tcPr>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8"/>
                <w14:textFill>
                  <w14:solidFill>
                    <w14:schemeClr w14:val="tx1"/>
                  </w14:solidFill>
                </w14:textFill>
              </w:rPr>
              <w:t>纺纱实训中心现有设备技术改造及联网/新购设备</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p>
        </w:tc>
        <w:tc>
          <w:tcPr>
            <w:tcW w:w="1902"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纺纱实训中心现有设备改造及联网</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梳棉机、并条机、粗纱机和细纱机为现有设备，报价改造与联网部分</w:t>
            </w: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梳棉机</w:t>
            </w:r>
          </w:p>
        </w:tc>
        <w:tc>
          <w:tcPr>
            <w:tcW w:w="2421"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经纬纺机【FA201B】</w:t>
            </w:r>
          </w:p>
          <w:p>
            <w:pPr>
              <w:pStyle w:val="2"/>
              <w:rPr>
                <w:color w:val="000000" w:themeColor="text1"/>
                <w14:textFill>
                  <w14:solidFill>
                    <w14:schemeClr w14:val="tx1"/>
                  </w14:solidFill>
                </w14:textFill>
              </w:rPr>
            </w:pPr>
          </w:p>
        </w:tc>
        <w:tc>
          <w:tcPr>
            <w:tcW w:w="850"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并条机</w:t>
            </w:r>
          </w:p>
        </w:tc>
        <w:tc>
          <w:tcPr>
            <w:tcW w:w="2421"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经纬纺机【FA306】</w:t>
            </w:r>
          </w:p>
        </w:tc>
        <w:tc>
          <w:tcPr>
            <w:tcW w:w="850"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粗纱机</w:t>
            </w:r>
          </w:p>
        </w:tc>
        <w:tc>
          <w:tcPr>
            <w:tcW w:w="2421"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天津宏大纺机【FA458A】</w:t>
            </w:r>
          </w:p>
        </w:tc>
        <w:tc>
          <w:tcPr>
            <w:tcW w:w="850"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细纱机</w:t>
            </w:r>
          </w:p>
        </w:tc>
        <w:tc>
          <w:tcPr>
            <w:tcW w:w="2421"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马佐里（东台）纺机【FA207B】</w:t>
            </w:r>
          </w:p>
        </w:tc>
        <w:tc>
          <w:tcPr>
            <w:tcW w:w="850"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w:t>
            </w:r>
          </w:p>
        </w:tc>
        <w:tc>
          <w:tcPr>
            <w:tcW w:w="1902" w:type="dxa"/>
            <w:noWrap/>
            <w:vAlign w:val="center"/>
          </w:tcPr>
          <w:p>
            <w:pPr>
              <w:adjustRightInd w:val="0"/>
              <w:snapToGrid w:val="0"/>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新购设备</w:t>
            </w:r>
          </w:p>
        </w:tc>
        <w:tc>
          <w:tcPr>
            <w:tcW w:w="2421" w:type="dxa"/>
            <w:noWrap/>
            <w:vAlign w:val="center"/>
          </w:tcPr>
          <w:p>
            <w:pPr>
              <w:adjustRightInd w:val="0"/>
              <w:snapToGrid w:val="0"/>
              <w:spacing w:line="360" w:lineRule="auto"/>
              <w:jc w:val="left"/>
              <w:rPr>
                <w:rFonts w:ascii="宋体" w:hAnsi="宋体" w:cs="宋体"/>
                <w:color w:val="000000" w:themeColor="text1"/>
                <w:kern w:val="0"/>
                <w14:textFill>
                  <w14:solidFill>
                    <w14:schemeClr w14:val="tx1"/>
                  </w14:solidFill>
                </w14:textFill>
              </w:rPr>
            </w:pPr>
          </w:p>
        </w:tc>
        <w:tc>
          <w:tcPr>
            <w:tcW w:w="850" w:type="dxa"/>
            <w:noWrap/>
            <w:vAlign w:val="center"/>
          </w:tcPr>
          <w:p>
            <w:pPr>
              <w:adjustRightInd w:val="0"/>
              <w:snapToGrid w:val="0"/>
              <w:spacing w:line="360" w:lineRule="auto"/>
              <w:jc w:val="center"/>
              <w:rPr>
                <w:rFonts w:ascii="宋体" w:hAnsi="宋体" w:cs="宋体"/>
                <w:color w:val="000000" w:themeColor="text1"/>
                <w:kern w:val="0"/>
                <w14:textFill>
                  <w14:solidFill>
                    <w14:schemeClr w14:val="tx1"/>
                  </w14:solidFill>
                </w14:textFill>
              </w:rPr>
            </w:pPr>
          </w:p>
        </w:tc>
        <w:tc>
          <w:tcPr>
            <w:tcW w:w="736" w:type="dxa"/>
            <w:noWrap/>
            <w:vAlign w:val="center"/>
          </w:tcPr>
          <w:p>
            <w:pPr>
              <w:adjustRightInd w:val="0"/>
              <w:snapToGrid w:val="0"/>
              <w:spacing w:line="360" w:lineRule="auto"/>
              <w:jc w:val="center"/>
              <w:rPr>
                <w:rFonts w:ascii="宋体" w:hAnsi="宋体" w:cs="宋体"/>
                <w:color w:val="000000" w:themeColor="text1"/>
                <w:kern w:val="0"/>
                <w14:textFill>
                  <w14:solidFill>
                    <w14:schemeClr w14:val="tx1"/>
                  </w14:solidFill>
                </w14:textFill>
              </w:rPr>
            </w:pP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核心交换机</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MS4320S-28P</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交换容量：336Gbps</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包转发率：144Mpps</w:t>
            </w:r>
            <w:r>
              <w:rPr>
                <w:rFonts w:hint="eastAsia" w:ascii="宋体" w:hAnsi="宋体" w:cs="宋体"/>
                <w:color w:val="000000" w:themeColor="text1"/>
                <w:kern w:val="0"/>
                <w14:textFill>
                  <w14:solidFill>
                    <w14:schemeClr w14:val="tx1"/>
                  </w14:solidFill>
                </w14:textFill>
              </w:rPr>
              <w:br w:type="textWrapping"/>
            </w:r>
            <w:r>
              <w:rPr>
                <w:rFonts w:hint="eastAsia" w:ascii="宋体" w:hAnsi="宋体" w:cs="宋体"/>
                <w:color w:val="000000" w:themeColor="text1"/>
                <w:kern w:val="0"/>
                <w14:textFill>
                  <w14:solidFill>
                    <w14:schemeClr w14:val="tx1"/>
                  </w14:solidFill>
                </w14:textFill>
              </w:rPr>
              <w:t>24个100/1000BASE-X</w:t>
            </w:r>
            <w:r>
              <w:rPr>
                <w:rFonts w:ascii="宋体" w:hAnsi="宋体" w:cs="宋体"/>
                <w:color w:val="000000" w:themeColor="text1"/>
                <w:kern w:val="0"/>
                <w14:textFill>
                  <w14:solidFill>
                    <w14:schemeClr w14:val="tx1"/>
                  </w14:solidFill>
                </w14:textFill>
              </w:rPr>
              <w:t xml:space="preserve"> </w:t>
            </w:r>
            <w:r>
              <w:rPr>
                <w:rFonts w:hint="eastAsia" w:ascii="宋体" w:hAnsi="宋体" w:cs="宋体"/>
                <w:color w:val="000000" w:themeColor="text1"/>
                <w:kern w:val="0"/>
                <w14:textFill>
                  <w14:solidFill>
                    <w14:schemeClr w14:val="tx1"/>
                  </w14:solidFill>
                </w14:textFill>
              </w:rPr>
              <w:t>端口，8个10/100/1000BASE-T Combo 口，4个1000 BASE-X SFP端口，含电源；</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AP</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G</w:t>
            </w:r>
            <w:r>
              <w:rPr>
                <w:rFonts w:ascii="宋体" w:hAnsi="宋体" w:cs="宋体"/>
                <w:color w:val="000000" w:themeColor="text1"/>
                <w:kern w:val="0"/>
                <w14:textFill>
                  <w14:solidFill>
                    <w14:schemeClr w14:val="tx1"/>
                  </w14:solidFill>
                </w14:textFill>
              </w:rPr>
              <w:t>/5G</w:t>
            </w:r>
            <w:r>
              <w:rPr>
                <w:rFonts w:hint="eastAsia" w:ascii="宋体" w:hAnsi="宋体" w:cs="宋体"/>
                <w:color w:val="000000" w:themeColor="text1"/>
                <w:kern w:val="0"/>
                <w14:textFill>
                  <w14:solidFill>
                    <w14:schemeClr w14:val="tx1"/>
                  </w14:solidFill>
                </w14:textFill>
              </w:rPr>
              <w:t>双频，3</w:t>
            </w: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个端，8</w:t>
            </w:r>
            <w:r>
              <w:rPr>
                <w:rFonts w:ascii="宋体" w:hAnsi="宋体" w:cs="宋体"/>
                <w:color w:val="000000" w:themeColor="text1"/>
                <w:kern w:val="0"/>
                <w14:textFill>
                  <w14:solidFill>
                    <w14:schemeClr w14:val="tx1"/>
                  </w14:solidFill>
                </w14:textFill>
              </w:rPr>
              <w:t>02.11</w:t>
            </w:r>
            <w:r>
              <w:rPr>
                <w:rFonts w:hint="eastAsia" w:ascii="宋体" w:hAnsi="宋体" w:cs="宋体"/>
                <w:color w:val="000000" w:themeColor="text1"/>
                <w:kern w:val="0"/>
                <w14:textFill>
                  <w14:solidFill>
                    <w14:schemeClr w14:val="tx1"/>
                  </w14:solidFill>
                </w14:textFill>
              </w:rPr>
              <w:t>a/b</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g</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n</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ac</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ax</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无线接入点</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RS</w:t>
            </w:r>
            <w:r>
              <w:rPr>
                <w:rFonts w:ascii="宋体" w:hAnsi="宋体" w:cs="宋体"/>
                <w:color w:val="000000" w:themeColor="text1"/>
                <w:kern w:val="0"/>
                <w14:textFill>
                  <w14:solidFill>
                    <w14:schemeClr w14:val="tx1"/>
                  </w14:solidFill>
                </w14:textFill>
              </w:rPr>
              <w:t>232/</w:t>
            </w:r>
            <w:r>
              <w:rPr>
                <w:rFonts w:hint="eastAsia" w:ascii="宋体" w:hAnsi="宋体" w:cs="宋体"/>
                <w:color w:val="000000" w:themeColor="text1"/>
                <w:kern w:val="0"/>
                <w14:textFill>
                  <w14:solidFill>
                    <w14:schemeClr w14:val="tx1"/>
                  </w14:solidFill>
                </w14:textFill>
              </w:rPr>
              <w:t>485转单网口WIFI转换器</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电子看板</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80寸LCD显示器</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看板解码器</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UNO-2271G 4核CPU，4G，32GSSD，HDMI</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触摸式一体机</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4核CPU,4G,64G,21.5寸，工业无风扇全密闭一体式</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边缘计算器</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I5，8G，1T工业计算机</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个</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温湿度传感器</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SOC2-TH-210</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智能电表AMC16</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智能三相12路电表</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电流互感器</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AKH-0.66-W-20 100/20mA</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个</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30</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采集网关</w:t>
            </w:r>
          </w:p>
        </w:tc>
        <w:tc>
          <w:tcPr>
            <w:tcW w:w="2421" w:type="dxa"/>
            <w:noWrap/>
            <w:vAlign w:val="center"/>
          </w:tcPr>
          <w:p>
            <w:pPr>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协议转发装置TIS-GA</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台</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p>
        </w:tc>
        <w:tc>
          <w:tcPr>
            <w:tcW w:w="1902"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辅材</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CAT6、线缆、辅材等线缆辅材</w:t>
            </w:r>
          </w:p>
        </w:tc>
        <w:tc>
          <w:tcPr>
            <w:tcW w:w="850"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批</w:t>
            </w:r>
          </w:p>
        </w:tc>
        <w:tc>
          <w:tcPr>
            <w:tcW w:w="736"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w:t>
            </w:r>
          </w:p>
        </w:tc>
        <w:tc>
          <w:tcPr>
            <w:tcW w:w="1902" w:type="dxa"/>
            <w:noWrap/>
            <w:vAlign w:val="center"/>
          </w:tcPr>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虚拟制造中心构建及模拟运行</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模块</w:t>
            </w: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1059" w:type="dxa"/>
            <w:noWrap/>
            <w:vAlign w:val="center"/>
          </w:tcPr>
          <w:p>
            <w:pPr>
              <w:adjustRightInd w:val="0"/>
              <w:snapToGrid w:val="0"/>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p>
        </w:tc>
        <w:tc>
          <w:tcPr>
            <w:tcW w:w="1902" w:type="dxa"/>
            <w:noWrap/>
            <w:vAlign w:val="center"/>
          </w:tcPr>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设备在线监控模拟系统</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模块</w:t>
            </w: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059" w:type="dxa"/>
            <w:noWrap/>
            <w:vAlign w:val="center"/>
          </w:tcPr>
          <w:p>
            <w:pPr>
              <w:adjustRightInd w:val="0"/>
              <w:snapToGrid w:val="0"/>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w:t>
            </w:r>
          </w:p>
        </w:tc>
        <w:tc>
          <w:tcPr>
            <w:tcW w:w="1902" w:type="dxa"/>
            <w:noWrap/>
            <w:vAlign w:val="center"/>
          </w:tcPr>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车间看板系统</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模块</w:t>
            </w: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059" w:type="dxa"/>
            <w:noWrap/>
            <w:vAlign w:val="center"/>
          </w:tcPr>
          <w:p>
            <w:pPr>
              <w:adjustRightInd w:val="0"/>
              <w:snapToGrid w:val="0"/>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5</w:t>
            </w:r>
          </w:p>
        </w:tc>
        <w:tc>
          <w:tcPr>
            <w:tcW w:w="1902" w:type="dxa"/>
            <w:noWrap/>
            <w:vAlign w:val="center"/>
          </w:tcPr>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智能驾驶舱系统</w:t>
            </w:r>
          </w:p>
        </w:tc>
        <w:tc>
          <w:tcPr>
            <w:tcW w:w="2421"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850"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模块</w:t>
            </w:r>
          </w:p>
        </w:tc>
        <w:tc>
          <w:tcPr>
            <w:tcW w:w="736"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107"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vAlign w:val="center"/>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1059" w:type="dxa"/>
            <w:noWrap/>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8101" w:type="dxa"/>
            <w:gridSpan w:val="6"/>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c>
          <w:tcPr>
            <w:tcW w:w="1085" w:type="dxa"/>
            <w:noWrap/>
          </w:tcPr>
          <w:p>
            <w:pPr>
              <w:adjustRightInd w:val="0"/>
              <w:snapToGrid w:val="0"/>
              <w:spacing w:line="360" w:lineRule="auto"/>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5"/>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jc w:val="left"/>
        <w:rPr>
          <w:rFonts w:ascii="宋体" w:hAnsi="宋体" w:cs="宋体"/>
          <w:color w:val="000000" w:themeColor="text1"/>
          <w:sz w:val="32"/>
          <w:szCs w:val="32"/>
          <w14:textFill>
            <w14:solidFill>
              <w14:schemeClr w14:val="tx1"/>
            </w14:solidFill>
          </w14:textFill>
        </w:rPr>
      </w:pPr>
      <w:bookmarkStart w:id="41" w:name="_Hlt26955054"/>
      <w:bookmarkEnd w:id="41"/>
      <w:r>
        <w:rPr>
          <w:rFonts w:ascii="宋体" w:hAnsi="宋体" w:cs="宋体"/>
          <w:color w:val="000000" w:themeColor="text1"/>
          <w:sz w:val="32"/>
          <w:szCs w:val="32"/>
          <w14:textFill>
            <w14:solidFill>
              <w14:schemeClr w14:val="tx1"/>
            </w14:solidFill>
          </w14:textFill>
        </w:rPr>
        <w:br w:type="page"/>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2" w:name="_Toc17355"/>
      <w:r>
        <w:rPr>
          <w:rFonts w:hint="eastAsia" w:ascii="宋体" w:hAnsi="宋体" w:cs="宋体"/>
          <w:color w:val="000000" w:themeColor="text1"/>
          <w:sz w:val="32"/>
          <w:szCs w:val="32"/>
          <w14:textFill>
            <w14:solidFill>
              <w14:schemeClr w14:val="tx1"/>
            </w14:solidFill>
          </w14:textFill>
        </w:rPr>
        <w:t>七、技术参数响应及偏离表（如有）</w:t>
      </w:r>
      <w:bookmarkEnd w:id="42"/>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noWrap/>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noWrap/>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2852" w:type="dxa"/>
            <w:noWrap/>
          </w:tcPr>
          <w:p>
            <w:pPr>
              <w:jc w:val="center"/>
              <w:rPr>
                <w:rFonts w:ascii="宋体" w:hAnsi="宋体" w:cs="宋体"/>
                <w:color w:val="000000" w:themeColor="text1"/>
                <w:sz w:val="24"/>
                <w:szCs w:val="24"/>
                <w14:textFill>
                  <w14:solidFill>
                    <w14:schemeClr w14:val="tx1"/>
                  </w14:solidFill>
                </w14:textFill>
              </w:rPr>
            </w:pPr>
          </w:p>
        </w:tc>
        <w:tc>
          <w:tcPr>
            <w:tcW w:w="1308" w:type="dxa"/>
            <w:noWrap/>
          </w:tcPr>
          <w:p>
            <w:pPr>
              <w:jc w:val="center"/>
              <w:rPr>
                <w:rFonts w:ascii="宋体" w:hAnsi="宋体" w:cs="宋体"/>
                <w:color w:val="000000" w:themeColor="text1"/>
                <w:sz w:val="24"/>
                <w:szCs w:val="24"/>
                <w14:textFill>
                  <w14:solidFill>
                    <w14:schemeClr w14:val="tx1"/>
                  </w14:solidFill>
                </w14:textFill>
              </w:rPr>
            </w:pPr>
          </w:p>
        </w:tc>
        <w:tc>
          <w:tcPr>
            <w:tcW w:w="1173" w:type="dxa"/>
            <w:noWrap/>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5"/>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3" w:name="_Toc20796"/>
      <w:r>
        <w:rPr>
          <w:rFonts w:hint="eastAsia" w:ascii="宋体" w:hAnsi="宋体" w:cs="宋体"/>
          <w:color w:val="000000" w:themeColor="text1"/>
          <w:sz w:val="32"/>
          <w:szCs w:val="32"/>
          <w14:textFill>
            <w14:solidFill>
              <w14:schemeClr w14:val="tx1"/>
            </w14:solidFill>
          </w14:textFill>
        </w:rPr>
        <w:t>八、商务条款响应及偏离表（如有）</w:t>
      </w:r>
      <w:bookmarkEnd w:id="43"/>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4" w:name="_Hlt26609389"/>
      <w:bookmarkEnd w:id="44"/>
      <w:bookmarkStart w:id="45" w:name="_Hlt26671374"/>
      <w:bookmarkEnd w:id="45"/>
      <w:bookmarkStart w:id="46" w:name="_Hlt26955064"/>
      <w:bookmarkEnd w:id="46"/>
      <w:bookmarkStart w:id="47" w:name="_Hlt26671343"/>
      <w:bookmarkEnd w:id="47"/>
      <w:bookmarkStart w:id="48" w:name="_Hlt26782999"/>
      <w:bookmarkEnd w:id="48"/>
      <w:bookmarkStart w:id="49" w:name="_Hlt24879081"/>
      <w:bookmarkEnd w:id="49"/>
      <w:bookmarkStart w:id="50" w:name="_Hlt26955066"/>
      <w:bookmarkEnd w:id="50"/>
      <w:bookmarkStart w:id="51" w:name="_Hlt26671372"/>
      <w:bookmarkEnd w:id="51"/>
      <w:bookmarkStart w:id="52" w:name="_Hlt26580838"/>
      <w:bookmarkEnd w:id="52"/>
      <w:bookmarkStart w:id="53" w:name="_Hlt26609391"/>
      <w:bookmarkEnd w:id="53"/>
      <w:bookmarkStart w:id="54" w:name="_Hlt26955056"/>
      <w:bookmarkEnd w:id="54"/>
      <w:bookmarkStart w:id="55" w:name="_Toc462564146"/>
    </w:p>
    <w:p>
      <w:pPr>
        <w:pStyle w:val="6"/>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Start w:id="56" w:name="_Toc8363"/>
      <w:r>
        <w:rPr>
          <w:rFonts w:hint="eastAsia" w:ascii="宋体" w:hAnsi="宋体" w:cs="宋体"/>
          <w:color w:val="000000" w:themeColor="text1"/>
          <w:sz w:val="32"/>
          <w:szCs w:val="32"/>
          <w14:textFill>
            <w14:solidFill>
              <w14:schemeClr w14:val="tx1"/>
            </w14:solidFill>
          </w14:textFill>
        </w:rPr>
        <w:t>九、技术方案、服务承诺等</w:t>
      </w:r>
      <w:bookmarkEnd w:id="55"/>
      <w:bookmarkEnd w:id="56"/>
      <w:bookmarkStart w:id="57" w:name="_格式2__法定代表人授权书"/>
      <w:bookmarkEnd w:id="57"/>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pStyle w:val="2"/>
        <w:rPr>
          <w:rFonts w:ascii="宋体" w:hAnsi="宋体" w:cs="宋体"/>
          <w:color w:val="000000" w:themeColor="text1"/>
          <w14:textFill>
            <w14:solidFill>
              <w14:schemeClr w14:val="tx1"/>
            </w14:solidFill>
          </w14:textFill>
        </w:rPr>
      </w:pPr>
    </w:p>
    <w:p>
      <w:pPr>
        <w:numPr>
          <w:ilvl w:val="0"/>
          <w:numId w:val="6"/>
        </w:numPr>
        <w:snapToGrid w:val="0"/>
        <w:spacing w:before="50" w:after="50"/>
        <w:outlineLvl w:val="0"/>
        <w:rPr>
          <w:rFonts w:hAnsi="宋体" w:cs="宋体"/>
          <w:b/>
          <w:bCs/>
          <w:color w:val="000000" w:themeColor="text1"/>
          <w14:textFill>
            <w14:solidFill>
              <w14:schemeClr w14:val="tx1"/>
            </w14:solidFill>
          </w14:textFill>
        </w:rPr>
        <w:sectPr>
          <w:footerReference r:id="rId13" w:type="first"/>
          <w:footerReference r:id="rId12" w:type="default"/>
          <w:pgSz w:w="11906" w:h="16838"/>
          <w:pgMar w:top="1417" w:right="1587" w:bottom="1417" w:left="1366" w:header="851" w:footer="907" w:gutter="0"/>
          <w:pgBorders>
            <w:top w:val="none" w:sz="0" w:space="0"/>
            <w:left w:val="none" w:sz="0" w:space="0"/>
            <w:bottom w:val="none" w:sz="0" w:space="0"/>
            <w:right w:val="none" w:sz="0" w:space="0"/>
          </w:pgBorders>
          <w:cols w:space="0" w:num="1"/>
          <w:titlePg/>
          <w:docGrid w:type="lines" w:linePitch="298" w:charSpace="0"/>
        </w:sectPr>
      </w:pPr>
    </w:p>
    <w:p>
      <w:pPr>
        <w:spacing w:line="460" w:lineRule="exact"/>
        <w:outlineLvl w:val="0"/>
        <w:rPr>
          <w:rFonts w:ascii="宋体" w:hAnsi="宋体" w:cs="宋体"/>
          <w:color w:val="000000" w:themeColor="text1"/>
          <w:sz w:val="32"/>
          <w14:textFill>
            <w14:solidFill>
              <w14:schemeClr w14:val="tx1"/>
            </w14:solidFill>
          </w14:textFill>
        </w:rPr>
      </w:pPr>
      <w:bookmarkStart w:id="58"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58"/>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9" w:name="_Toc1790"/>
      <w:r>
        <w:rPr>
          <w:rFonts w:hint="eastAsia" w:ascii="宋体" w:hAnsi="宋体" w:cs="宋体"/>
          <w:color w:val="000000" w:themeColor="text1"/>
          <w:sz w:val="24"/>
          <w:szCs w:val="24"/>
          <w14:textFill>
            <w14:solidFill>
              <w14:schemeClr w14:val="tx1"/>
            </w14:solidFill>
          </w14:textFill>
        </w:rPr>
        <w:t>法定代表人签名：</w:t>
      </w:r>
      <w:bookmarkEnd w:id="59"/>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0" w:name="_Toc27882"/>
      <w:r>
        <w:rPr>
          <w:rFonts w:hint="eastAsia" w:ascii="宋体" w:hAnsi="宋体" w:cs="宋体"/>
          <w:color w:val="000000" w:themeColor="text1"/>
          <w:sz w:val="24"/>
          <w:szCs w:val="24"/>
          <w14:textFill>
            <w14:solidFill>
              <w14:schemeClr w14:val="tx1"/>
            </w14:solidFill>
          </w14:textFill>
        </w:rPr>
        <w:t>单位名称（盖章）：</w:t>
      </w:r>
      <w:bookmarkEnd w:id="60"/>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61" w:name="_Toc385"/>
      <w:r>
        <w:rPr>
          <w:rFonts w:hint="eastAsia" w:ascii="宋体" w:hAnsi="宋体" w:cs="宋体"/>
          <w:color w:val="000000" w:themeColor="text1"/>
          <w:sz w:val="24"/>
          <w:szCs w:val="24"/>
          <w14:textFill>
            <w14:solidFill>
              <w14:schemeClr w14:val="tx1"/>
            </w14:solidFill>
          </w14:textFill>
        </w:rPr>
        <w:t>年    月    日</w:t>
      </w:r>
      <w:bookmarkEnd w:id="61"/>
    </w:p>
    <w:p>
      <w:pPr>
        <w:pStyle w:val="141"/>
        <w:jc w:val="both"/>
        <w:rPr>
          <w:rStyle w:val="47"/>
          <w:rFonts w:ascii="宋体" w:hAnsi="宋体" w:cs="宋体"/>
          <w:color w:val="000000" w:themeColor="text1"/>
          <w14:textFill>
            <w14:solidFill>
              <w14:schemeClr w14:val="tx1"/>
            </w14:solidFill>
          </w14:textFill>
        </w:rPr>
      </w:pPr>
    </w:p>
    <w:sectPr>
      <w:headerReference r:id="rId14" w:type="default"/>
      <w:footerReference r:id="rId15" w:type="default"/>
      <w:pgSz w:w="11906" w:h="16838"/>
      <w:pgMar w:top="1417" w:right="1587" w:bottom="1417" w:left="1366" w:header="851" w:footer="907" w:gutter="0"/>
      <w:pgBorders>
        <w:top w:val="none" w:sz="0" w:space="0"/>
        <w:left w:val="none" w:sz="0" w:space="0"/>
        <w:bottom w:val="none" w:sz="0" w:space="0"/>
        <w:right w:val="none" w:sz="0" w:space="0"/>
      </w:pgBorders>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643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21</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44</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03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54</w:t>
                          </w:r>
                          <w:r>
                            <w:fldChar w:fldCharType="end"/>
                          </w:r>
                        </w:p>
                      </w:txbxContent>
                    </wps:txbx>
                    <wps:bodyPr rot="0" vert="horz" wrap="none" lIns="0" tIns="0" rIns="0" bIns="0" anchor="t" anchorCtr="0" upright="1">
                      <a:spAutoFit/>
                    </wps:bodyPr>
                  </wps:wsp>
                </a:graphicData>
              </a:graphic>
            </wp:anchor>
          </w:drawing>
        </mc:Choice>
        <mc:Fallback>
          <w:pict>
            <v:shape id="Text Box 1034"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emj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WZFYYa/qTGwD7ByPLlah0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J6aP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51</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51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2022-000W招标文件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2023-010W招标文件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ascii="隶书" w:hAnsi="隶书" w:eastAsia="隶书" w:cs="隶书"/>
        <w:sz w:val="24"/>
        <w:szCs w:val="24"/>
      </w:rPr>
    </w:pPr>
    <w:r>
      <w:rPr>
        <w:rFonts w:hint="eastAsia" w:ascii="隶书" w:hAnsi="隶书" w:eastAsia="隶书" w:cs="隶书"/>
        <w:sz w:val="24"/>
        <w:szCs w:val="24"/>
      </w:rPr>
      <w:t>2023-010W招标文件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rPr>
      <w:t>2023-010W</w:t>
    </w:r>
    <w:r>
      <w:rPr>
        <w:rFonts w:hint="eastAsia" w:ascii="Times New Roman" w:hAnsi="隶书" w:eastAsia="隶书" w:cs="隶书"/>
        <w:color w:val="000000"/>
        <w:spacing w:val="40"/>
        <w:kern w:val="2"/>
        <w:sz w:val="21"/>
      </w:rPr>
      <w:t>招标文件</w:t>
    </w:r>
  </w:p>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2022-000W招标文件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2D917819"/>
    <w:multiLevelType w:val="singleLevel"/>
    <w:tmpl w:val="2D917819"/>
    <w:lvl w:ilvl="0" w:tentative="0">
      <w:start w:val="10"/>
      <w:numFmt w:val="chineseCounting"/>
      <w:suff w:val="nothing"/>
      <w:lvlText w:val="%1、"/>
      <w:lvlJc w:val="left"/>
      <w:pPr>
        <w:ind w:left="3150"/>
      </w:pPr>
      <w:rPr>
        <w:rFonts w:hint="eastAsia"/>
      </w:rPr>
    </w:lvl>
  </w:abstractNum>
  <w:abstractNum w:abstractNumId="4">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yMjM0NWQ0MjgwODVhMWM5NGRmNzY5YTMzNDQ5MzcifQ=="/>
  </w:docVars>
  <w:rsids>
    <w:rsidRoot w:val="00F868A9"/>
    <w:rsid w:val="00003AB4"/>
    <w:rsid w:val="000406FC"/>
    <w:rsid w:val="00045760"/>
    <w:rsid w:val="00056EA4"/>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5521"/>
    <w:rsid w:val="002800DE"/>
    <w:rsid w:val="002A07A1"/>
    <w:rsid w:val="002C41D3"/>
    <w:rsid w:val="003220F7"/>
    <w:rsid w:val="00325BAB"/>
    <w:rsid w:val="0033044B"/>
    <w:rsid w:val="003367B6"/>
    <w:rsid w:val="00360929"/>
    <w:rsid w:val="003A223F"/>
    <w:rsid w:val="003A63FB"/>
    <w:rsid w:val="003A7ED9"/>
    <w:rsid w:val="003B0C57"/>
    <w:rsid w:val="003C4320"/>
    <w:rsid w:val="003D4620"/>
    <w:rsid w:val="00410119"/>
    <w:rsid w:val="004112BF"/>
    <w:rsid w:val="00426342"/>
    <w:rsid w:val="004269CB"/>
    <w:rsid w:val="004521C1"/>
    <w:rsid w:val="004558DC"/>
    <w:rsid w:val="00467A1B"/>
    <w:rsid w:val="00472EDC"/>
    <w:rsid w:val="004772F8"/>
    <w:rsid w:val="004A24CE"/>
    <w:rsid w:val="004C48B9"/>
    <w:rsid w:val="004D0D5A"/>
    <w:rsid w:val="004D2539"/>
    <w:rsid w:val="004D2FC9"/>
    <w:rsid w:val="004E2324"/>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3605"/>
    <w:rsid w:val="009343EF"/>
    <w:rsid w:val="0097078B"/>
    <w:rsid w:val="0099206B"/>
    <w:rsid w:val="009C11B1"/>
    <w:rsid w:val="00A1183C"/>
    <w:rsid w:val="00A40F31"/>
    <w:rsid w:val="00A51F32"/>
    <w:rsid w:val="00A6255B"/>
    <w:rsid w:val="00A969C0"/>
    <w:rsid w:val="00AA7C70"/>
    <w:rsid w:val="00AE15AF"/>
    <w:rsid w:val="00AE261D"/>
    <w:rsid w:val="00AF2F44"/>
    <w:rsid w:val="00AF368F"/>
    <w:rsid w:val="00AF482F"/>
    <w:rsid w:val="00B10A21"/>
    <w:rsid w:val="00B14AF4"/>
    <w:rsid w:val="00B357E1"/>
    <w:rsid w:val="00B715BD"/>
    <w:rsid w:val="00B719DD"/>
    <w:rsid w:val="00B8533E"/>
    <w:rsid w:val="00BA7076"/>
    <w:rsid w:val="00BC3E9F"/>
    <w:rsid w:val="00BC733E"/>
    <w:rsid w:val="00C05334"/>
    <w:rsid w:val="00C157C0"/>
    <w:rsid w:val="00C31CC3"/>
    <w:rsid w:val="00C945B7"/>
    <w:rsid w:val="00CB1BB5"/>
    <w:rsid w:val="00CC6812"/>
    <w:rsid w:val="00CC72B1"/>
    <w:rsid w:val="00D17BDD"/>
    <w:rsid w:val="00D358BD"/>
    <w:rsid w:val="00D613B4"/>
    <w:rsid w:val="00D676B7"/>
    <w:rsid w:val="00D71667"/>
    <w:rsid w:val="00D7365D"/>
    <w:rsid w:val="00D75F94"/>
    <w:rsid w:val="00DD536A"/>
    <w:rsid w:val="00DE7A25"/>
    <w:rsid w:val="00DF61E5"/>
    <w:rsid w:val="00E0626D"/>
    <w:rsid w:val="00E124F9"/>
    <w:rsid w:val="00E330BB"/>
    <w:rsid w:val="00E4006C"/>
    <w:rsid w:val="00E675DD"/>
    <w:rsid w:val="00E742E3"/>
    <w:rsid w:val="00E918E1"/>
    <w:rsid w:val="00E9328D"/>
    <w:rsid w:val="00EA1A99"/>
    <w:rsid w:val="00EA2ECC"/>
    <w:rsid w:val="00EC1238"/>
    <w:rsid w:val="00EE1E73"/>
    <w:rsid w:val="00F05A81"/>
    <w:rsid w:val="00F157C3"/>
    <w:rsid w:val="00F3123B"/>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31F6792"/>
    <w:rsid w:val="048A02DF"/>
    <w:rsid w:val="05E53B14"/>
    <w:rsid w:val="06AA3A95"/>
    <w:rsid w:val="077C4CBC"/>
    <w:rsid w:val="08677D62"/>
    <w:rsid w:val="08FC324B"/>
    <w:rsid w:val="0AE41970"/>
    <w:rsid w:val="0BA17C72"/>
    <w:rsid w:val="0D7B4325"/>
    <w:rsid w:val="0E261538"/>
    <w:rsid w:val="0F5541A7"/>
    <w:rsid w:val="10837167"/>
    <w:rsid w:val="11195798"/>
    <w:rsid w:val="11C53F90"/>
    <w:rsid w:val="11F94916"/>
    <w:rsid w:val="12082FD7"/>
    <w:rsid w:val="13165211"/>
    <w:rsid w:val="134F427F"/>
    <w:rsid w:val="1394626A"/>
    <w:rsid w:val="15376E13"/>
    <w:rsid w:val="15EB1115"/>
    <w:rsid w:val="18041C24"/>
    <w:rsid w:val="190453A1"/>
    <w:rsid w:val="19B05279"/>
    <w:rsid w:val="19D21F7E"/>
    <w:rsid w:val="1B2A6182"/>
    <w:rsid w:val="1B336F50"/>
    <w:rsid w:val="1B7B3068"/>
    <w:rsid w:val="1BC2228E"/>
    <w:rsid w:val="1BCB2C50"/>
    <w:rsid w:val="1C4A5552"/>
    <w:rsid w:val="1C9B22E3"/>
    <w:rsid w:val="1DA73FC9"/>
    <w:rsid w:val="1DEF65CF"/>
    <w:rsid w:val="1E9675D8"/>
    <w:rsid w:val="1EBA0E38"/>
    <w:rsid w:val="1F2B6305"/>
    <w:rsid w:val="20D6799C"/>
    <w:rsid w:val="21F8049E"/>
    <w:rsid w:val="230A6FF9"/>
    <w:rsid w:val="23B833C4"/>
    <w:rsid w:val="24313F27"/>
    <w:rsid w:val="24B6415E"/>
    <w:rsid w:val="25593628"/>
    <w:rsid w:val="2580449D"/>
    <w:rsid w:val="25963607"/>
    <w:rsid w:val="27845BBD"/>
    <w:rsid w:val="27C52CB5"/>
    <w:rsid w:val="27F35805"/>
    <w:rsid w:val="2805529A"/>
    <w:rsid w:val="284E1359"/>
    <w:rsid w:val="28DC1054"/>
    <w:rsid w:val="2C8D1691"/>
    <w:rsid w:val="2D65606C"/>
    <w:rsid w:val="2EB102D0"/>
    <w:rsid w:val="2ED17DCD"/>
    <w:rsid w:val="2EFB2475"/>
    <w:rsid w:val="2F1F4980"/>
    <w:rsid w:val="3076600E"/>
    <w:rsid w:val="307F7677"/>
    <w:rsid w:val="31176B77"/>
    <w:rsid w:val="33D16C2B"/>
    <w:rsid w:val="35877A81"/>
    <w:rsid w:val="3744261E"/>
    <w:rsid w:val="3872122D"/>
    <w:rsid w:val="38CF3E86"/>
    <w:rsid w:val="39755785"/>
    <w:rsid w:val="3A8C4051"/>
    <w:rsid w:val="3B5326F5"/>
    <w:rsid w:val="3BCB58D4"/>
    <w:rsid w:val="3E0024E3"/>
    <w:rsid w:val="3E037FB0"/>
    <w:rsid w:val="3E0554C3"/>
    <w:rsid w:val="3E0702BE"/>
    <w:rsid w:val="3F183ABD"/>
    <w:rsid w:val="4032153F"/>
    <w:rsid w:val="40396E60"/>
    <w:rsid w:val="404E3DFB"/>
    <w:rsid w:val="4142108B"/>
    <w:rsid w:val="41D76922"/>
    <w:rsid w:val="42557B5A"/>
    <w:rsid w:val="461012F9"/>
    <w:rsid w:val="468F36CE"/>
    <w:rsid w:val="472C4FB8"/>
    <w:rsid w:val="477544A9"/>
    <w:rsid w:val="488F2B38"/>
    <w:rsid w:val="4ABE6E0A"/>
    <w:rsid w:val="4B777F24"/>
    <w:rsid w:val="4CDF4FD7"/>
    <w:rsid w:val="4D2F7C0C"/>
    <w:rsid w:val="4D8959A6"/>
    <w:rsid w:val="4E703810"/>
    <w:rsid w:val="4FEA69E5"/>
    <w:rsid w:val="534665F2"/>
    <w:rsid w:val="53582700"/>
    <w:rsid w:val="53D00760"/>
    <w:rsid w:val="53DB1BAB"/>
    <w:rsid w:val="54865D71"/>
    <w:rsid w:val="54C806C5"/>
    <w:rsid w:val="57196B09"/>
    <w:rsid w:val="5B570B4A"/>
    <w:rsid w:val="5C01420A"/>
    <w:rsid w:val="5C172F4C"/>
    <w:rsid w:val="5C2B17E4"/>
    <w:rsid w:val="5C2B35EA"/>
    <w:rsid w:val="5CAB212A"/>
    <w:rsid w:val="5D51151E"/>
    <w:rsid w:val="5E284F41"/>
    <w:rsid w:val="5FE20012"/>
    <w:rsid w:val="60FB0A31"/>
    <w:rsid w:val="620339A9"/>
    <w:rsid w:val="620E4996"/>
    <w:rsid w:val="622D342E"/>
    <w:rsid w:val="623936FD"/>
    <w:rsid w:val="6303194F"/>
    <w:rsid w:val="63483C8F"/>
    <w:rsid w:val="63E27DDC"/>
    <w:rsid w:val="650125BE"/>
    <w:rsid w:val="67E64767"/>
    <w:rsid w:val="681206DC"/>
    <w:rsid w:val="686C452C"/>
    <w:rsid w:val="687674CE"/>
    <w:rsid w:val="689E2536"/>
    <w:rsid w:val="68F024D8"/>
    <w:rsid w:val="68F142E6"/>
    <w:rsid w:val="69142D6C"/>
    <w:rsid w:val="692A771C"/>
    <w:rsid w:val="6A984F03"/>
    <w:rsid w:val="6ADF6879"/>
    <w:rsid w:val="6B08451F"/>
    <w:rsid w:val="6BA77477"/>
    <w:rsid w:val="6BB04F86"/>
    <w:rsid w:val="6D05497A"/>
    <w:rsid w:val="6EB62D31"/>
    <w:rsid w:val="6F370BF8"/>
    <w:rsid w:val="712C0DAB"/>
    <w:rsid w:val="72BA3B44"/>
    <w:rsid w:val="73383726"/>
    <w:rsid w:val="73E906CA"/>
    <w:rsid w:val="74A5063C"/>
    <w:rsid w:val="752F59CE"/>
    <w:rsid w:val="756048F2"/>
    <w:rsid w:val="758F5CF3"/>
    <w:rsid w:val="76BE394D"/>
    <w:rsid w:val="76CB0355"/>
    <w:rsid w:val="76E30B32"/>
    <w:rsid w:val="7710100F"/>
    <w:rsid w:val="7B2D3BB7"/>
    <w:rsid w:val="7B4231CA"/>
    <w:rsid w:val="7B545202"/>
    <w:rsid w:val="7C14555E"/>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6"/>
    <w:qFormat/>
    <w:uiPriority w:val="1"/>
    <w:pPr>
      <w:spacing w:line="357" w:lineRule="exact"/>
      <w:ind w:left="774"/>
      <w:outlineLvl w:val="2"/>
    </w:pPr>
    <w:rPr>
      <w:b/>
      <w:bCs/>
      <w:sz w:val="28"/>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8"/>
    <w:qFormat/>
    <w:uiPriority w:val="1"/>
    <w:rPr>
      <w:sz w:val="28"/>
      <w:szCs w:val="28"/>
    </w:rPr>
  </w:style>
  <w:style w:type="paragraph" w:styleId="6">
    <w:name w:val="Normal Indent"/>
    <w:basedOn w:val="1"/>
    <w:qFormat/>
    <w:uiPriority w:val="0"/>
    <w:pPr>
      <w:ind w:firstLine="420"/>
    </w:pPr>
  </w:style>
  <w:style w:type="paragraph" w:styleId="8">
    <w:name w:val="Body Text Indent"/>
    <w:basedOn w:val="1"/>
    <w:next w:val="9"/>
    <w:qFormat/>
    <w:uiPriority w:val="0"/>
    <w:pPr>
      <w:ind w:firstLine="645"/>
    </w:pPr>
    <w:rPr>
      <w:rFonts w:ascii="楷体_GB2312" w:eastAsia="楷体_GB2312"/>
      <w:sz w:val="32"/>
      <w:szCs w:val="32"/>
    </w:rPr>
  </w:style>
  <w:style w:type="paragraph" w:styleId="9">
    <w:name w:val="envelope return"/>
    <w:basedOn w:val="1"/>
    <w:qFormat/>
    <w:uiPriority w:val="0"/>
    <w:pPr>
      <w:snapToGrid w:val="0"/>
    </w:pPr>
    <w:rPr>
      <w:rFonts w:ascii="Arial" w:hAnsi="Arial"/>
    </w:rPr>
  </w:style>
  <w:style w:type="paragraph" w:styleId="10">
    <w:name w:val="Block Text"/>
    <w:basedOn w:val="1"/>
    <w:qFormat/>
    <w:uiPriority w:val="99"/>
    <w:pPr>
      <w:spacing w:after="120"/>
      <w:ind w:left="1440" w:leftChars="700" w:right="1440" w:rightChars="700"/>
    </w:pPr>
  </w:style>
  <w:style w:type="paragraph" w:styleId="11">
    <w:name w:val="index 4"/>
    <w:basedOn w:val="1"/>
    <w:next w:val="1"/>
    <w:unhideWhenUsed/>
    <w:qFormat/>
    <w:uiPriority w:val="99"/>
    <w:pPr>
      <w:ind w:left="600" w:leftChars="600"/>
    </w:pPr>
    <w:rPr>
      <w:rFonts w:ascii="Verdana" w:hAnsi="Verdana"/>
      <w:szCs w:val="20"/>
    </w:rPr>
  </w:style>
  <w:style w:type="paragraph" w:styleId="12">
    <w:name w:val="Plain Text"/>
    <w:basedOn w:val="1"/>
    <w:qFormat/>
    <w:uiPriority w:val="0"/>
    <w:rPr>
      <w:rFonts w:ascii="宋体" w:hAnsi="Courier New"/>
    </w:rPr>
  </w:style>
  <w:style w:type="paragraph" w:styleId="13">
    <w:name w:val="Date"/>
    <w:basedOn w:val="1"/>
    <w:next w:val="1"/>
    <w:qFormat/>
    <w:uiPriority w:val="0"/>
    <w:rPr>
      <w:sz w:val="24"/>
      <w:szCs w:val="24"/>
    </w:rPr>
  </w:style>
  <w:style w:type="paragraph" w:styleId="14">
    <w:name w:val="Body Text Indent 2"/>
    <w:basedOn w:val="1"/>
    <w:qFormat/>
    <w:uiPriority w:val="0"/>
    <w:pPr>
      <w:ind w:firstLine="560" w:firstLineChars="200"/>
    </w:pPr>
    <w:rPr>
      <w:rFonts w:ascii="宋体" w:hAnsi="宋体" w:cs="Times New Roman"/>
      <w:sz w:val="28"/>
    </w:rPr>
  </w:style>
  <w:style w:type="paragraph" w:styleId="15">
    <w:name w:val="Balloon Text"/>
    <w:basedOn w:val="1"/>
    <w:link w:val="149"/>
    <w:qFormat/>
    <w:uiPriority w:val="0"/>
    <w:rPr>
      <w:sz w:val="18"/>
      <w:szCs w:val="18"/>
    </w:rPr>
  </w:style>
  <w:style w:type="paragraph" w:styleId="16">
    <w:name w:val="footer"/>
    <w:basedOn w:val="1"/>
    <w:link w:val="76"/>
    <w:qFormat/>
    <w:uiPriority w:val="0"/>
    <w:pPr>
      <w:tabs>
        <w:tab w:val="center" w:pos="4153"/>
        <w:tab w:val="right" w:pos="8306"/>
      </w:tabs>
      <w:snapToGrid w:val="0"/>
      <w:jc w:val="left"/>
    </w:pPr>
    <w:rPr>
      <w:sz w:val="18"/>
      <w:szCs w:val="18"/>
    </w:rPr>
  </w:style>
  <w:style w:type="paragraph" w:styleId="17">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style>
  <w:style w:type="paragraph" w:styleId="19">
    <w:name w:val="Normal (Web)"/>
    <w:basedOn w:val="1"/>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1"/>
    <w:qFormat/>
    <w:uiPriority w:val="99"/>
    <w:pPr>
      <w:ind w:firstLine="420" w:firstLineChars="100"/>
    </w:pPr>
  </w:style>
  <w:style w:type="paragraph" w:styleId="21">
    <w:name w:val="Body Text First Indent 2"/>
    <w:basedOn w:val="8"/>
    <w:next w:val="2"/>
    <w:qFormat/>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next w:val="31"/>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字符"/>
    <w:link w:val="16"/>
    <w:qFormat/>
    <w:uiPriority w:val="0"/>
    <w:rPr>
      <w:kern w:val="2"/>
      <w:sz w:val="18"/>
      <w:szCs w:val="18"/>
    </w:rPr>
  </w:style>
  <w:style w:type="character" w:customStyle="1" w:styleId="77">
    <w:name w:val="页眉 字符"/>
    <w:link w:val="17"/>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字符"/>
    <w:basedOn w:val="24"/>
    <w:link w:val="15"/>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 w:type="character" w:customStyle="1" w:styleId="168">
    <w:name w:val="正文文本 字符"/>
    <w:basedOn w:val="24"/>
    <w:link w:val="2"/>
    <w:uiPriority w:val="1"/>
    <w:rPr>
      <w:rFonts w:cstheme="minorBidi"/>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ycgy</Company>
  <Pages>50</Pages>
  <Words>20683</Words>
  <Characters>22278</Characters>
  <Lines>188</Lines>
  <Paragraphs>52</Paragraphs>
  <TotalTime>38</TotalTime>
  <ScaleCrop>false</ScaleCrop>
  <LinksUpToDate>false</LinksUpToDate>
  <CharactersWithSpaces>24469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2023-04-20T03:06:00Z</dcterms:created>
  <dc:creator>Administrator</dc:creator>
  <cp:lastModifiedBy>赵萌</cp:lastModifiedBy>
  <cp:lastPrinted>2022-11-29T08:36:00Z</cp:lastPrinted>
  <dcterms:modified xsi:type="dcterms:W3CDTF">2023-10-19T07:30:53Z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B9874D12A6404BA5B0BB5A2134BECC32_13</vt:lpwstr>
  </property>
</Properties>
</file>