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Style w:val="47"/>
          <w:rFonts w:cs="宋体"/>
          <w:sz w:val="36"/>
          <w:szCs w:val="21"/>
        </w:rPr>
      </w:pPr>
    </w:p>
    <w:p>
      <w:pPr>
        <w:rPr>
          <w:rStyle w:val="47"/>
          <w:rFonts w:ascii="宋体" w:hAnsi="宋体" w:cs="宋体"/>
          <w:sz w:val="36"/>
        </w:rPr>
      </w:pPr>
    </w:p>
    <w:p>
      <w:pPr>
        <w:jc w:val="center"/>
        <w:rPr>
          <w:rStyle w:val="47"/>
          <w:rFonts w:ascii="宋体" w:hAnsi="宋体" w:cs="宋体"/>
          <w:b/>
          <w:sz w:val="84"/>
        </w:rPr>
      </w:pPr>
      <w:r>
        <w:rPr>
          <w:rStyle w:val="47"/>
          <w:rFonts w:hint="eastAsia" w:ascii="宋体" w:hAnsi="宋体" w:cs="宋体"/>
          <w:b/>
          <w:sz w:val="84"/>
        </w:rPr>
        <w:t>招 标 文 件</w:t>
      </w:r>
    </w:p>
    <w:p>
      <w:pPr>
        <w:rPr>
          <w:rStyle w:val="47"/>
          <w:rFonts w:ascii="宋体" w:hAnsi="宋体" w:cs="宋体"/>
          <w:b/>
          <w:sz w:val="32"/>
        </w:rPr>
      </w:pPr>
    </w:p>
    <w:p>
      <w:pPr>
        <w:jc w:val="center"/>
        <w:rPr>
          <w:rStyle w:val="47"/>
          <w:rFonts w:ascii="宋体" w:hAnsi="宋体" w:cs="宋体"/>
          <w:b/>
          <w:sz w:val="32"/>
        </w:rPr>
      </w:pPr>
    </w:p>
    <w:p>
      <w:pPr>
        <w:pStyle w:val="2"/>
        <w:rPr>
          <w:rFonts w:cs="宋体"/>
        </w:rPr>
      </w:pPr>
    </w:p>
    <w:p>
      <w:pPr>
        <w:jc w:val="center"/>
        <w:rPr>
          <w:rStyle w:val="47"/>
          <w:rFonts w:ascii="宋体" w:hAnsi="宋体" w:cs="宋体"/>
          <w:b/>
          <w:sz w:val="32"/>
        </w:rPr>
      </w:pPr>
    </w:p>
    <w:p>
      <w:pPr>
        <w:jc w:val="center"/>
        <w:rPr>
          <w:rStyle w:val="47"/>
          <w:rFonts w:ascii="宋体" w:hAnsi="宋体" w:cs="宋体"/>
          <w:b/>
          <w:sz w:val="32"/>
        </w:rPr>
      </w:pPr>
    </w:p>
    <w:p>
      <w:pPr>
        <w:ind w:firstLine="723" w:firstLineChars="200"/>
        <w:rPr>
          <w:rStyle w:val="47"/>
          <w:rFonts w:hint="eastAsia" w:ascii="宋体" w:hAnsi="宋体" w:eastAsia="宋体" w:cs="宋体"/>
          <w:b/>
          <w:sz w:val="36"/>
          <w:lang w:eastAsia="zh-CN"/>
        </w:rPr>
      </w:pPr>
      <w:r>
        <w:rPr>
          <w:rStyle w:val="47"/>
          <w:rFonts w:hint="eastAsia" w:ascii="宋体" w:hAnsi="宋体" w:cs="宋体"/>
          <w:b/>
          <w:sz w:val="36"/>
        </w:rPr>
        <w:t>项目编号：2023-</w:t>
      </w:r>
      <w:r>
        <w:rPr>
          <w:rStyle w:val="47"/>
          <w:rFonts w:hint="eastAsia" w:ascii="宋体" w:hAnsi="宋体" w:cs="宋体"/>
          <w:b/>
          <w:sz w:val="36"/>
          <w:lang w:eastAsia="zh-CN"/>
        </w:rPr>
        <w:t>031W</w:t>
      </w:r>
    </w:p>
    <w:p>
      <w:pPr>
        <w:jc w:val="center"/>
        <w:rPr>
          <w:rStyle w:val="47"/>
          <w:rFonts w:ascii="宋体" w:hAnsi="宋体" w:cs="宋体"/>
          <w:b/>
          <w:sz w:val="32"/>
        </w:rPr>
      </w:pPr>
    </w:p>
    <w:p>
      <w:pPr>
        <w:jc w:val="center"/>
        <w:rPr>
          <w:rStyle w:val="47"/>
          <w:rFonts w:ascii="宋体" w:hAnsi="宋体" w:cs="宋体"/>
          <w:b/>
          <w:sz w:val="32"/>
        </w:rPr>
      </w:pPr>
    </w:p>
    <w:p>
      <w:pPr>
        <w:ind w:left="2525" w:leftChars="342" w:hanging="1807" w:hangingChars="500"/>
        <w:rPr>
          <w:rStyle w:val="47"/>
          <w:rFonts w:hint="eastAsia" w:ascii="宋体" w:hAnsi="宋体" w:eastAsia="宋体" w:cs="宋体"/>
          <w:b/>
          <w:sz w:val="30"/>
          <w:szCs w:val="30"/>
          <w:lang w:eastAsia="zh-CN"/>
        </w:rPr>
      </w:pPr>
      <w:r>
        <w:rPr>
          <w:rStyle w:val="47"/>
          <w:rFonts w:hint="eastAsia" w:ascii="宋体" w:hAnsi="宋体" w:cs="宋体"/>
          <w:b/>
          <w:sz w:val="36"/>
          <w:szCs w:val="36"/>
        </w:rPr>
        <w:t>项目名称：</w:t>
      </w:r>
      <w:r>
        <w:rPr>
          <w:rStyle w:val="47"/>
          <w:rFonts w:hint="eastAsia" w:ascii="宋体" w:hAnsi="宋体" w:cs="宋体"/>
          <w:b/>
          <w:sz w:val="36"/>
          <w:szCs w:val="36"/>
          <w:lang w:eastAsia="zh-CN"/>
        </w:rPr>
        <w:t>盐城工业职业技术学院商务数据分析软件（</w:t>
      </w:r>
      <w:r>
        <w:rPr>
          <w:rStyle w:val="47"/>
          <w:rFonts w:hint="eastAsia" w:ascii="宋体" w:hAnsi="宋体" w:cs="宋体"/>
          <w:b/>
          <w:sz w:val="36"/>
          <w:szCs w:val="36"/>
          <w:lang w:val="en-US" w:eastAsia="zh-CN"/>
        </w:rPr>
        <w:t>二次</w:t>
      </w:r>
      <w:r>
        <w:rPr>
          <w:rStyle w:val="47"/>
          <w:rFonts w:hint="eastAsia" w:ascii="宋体" w:hAnsi="宋体" w:cs="宋体"/>
          <w:b/>
          <w:sz w:val="36"/>
          <w:szCs w:val="36"/>
          <w:lang w:eastAsia="zh-CN"/>
        </w:rPr>
        <w:t>）</w:t>
      </w:r>
    </w:p>
    <w:p>
      <w:pPr>
        <w:pStyle w:val="2"/>
        <w:ind w:firstLine="0" w:firstLineChars="0"/>
        <w:rPr>
          <w:rStyle w:val="47"/>
          <w:rFonts w:cs="宋体"/>
          <w:b/>
          <w:sz w:val="32"/>
          <w:szCs w:val="21"/>
        </w:rPr>
      </w:pPr>
    </w:p>
    <w:p>
      <w:pPr>
        <w:pStyle w:val="2"/>
        <w:ind w:firstLine="643"/>
        <w:rPr>
          <w:rStyle w:val="47"/>
          <w:rFonts w:cs="宋体"/>
          <w:b/>
          <w:sz w:val="32"/>
          <w:szCs w:val="21"/>
        </w:rPr>
      </w:pPr>
    </w:p>
    <w:p>
      <w:pPr>
        <w:pStyle w:val="107"/>
        <w:rPr>
          <w:rStyle w:val="47"/>
          <w:rFonts w:ascii="宋体" w:hAnsi="宋体" w:eastAsia="宋体" w:cs="宋体"/>
          <w:b/>
          <w:sz w:val="32"/>
        </w:rPr>
      </w:pPr>
    </w:p>
    <w:p>
      <w:pPr>
        <w:pStyle w:val="107"/>
        <w:rPr>
          <w:rStyle w:val="47"/>
          <w:rFonts w:ascii="宋体" w:hAnsi="宋体" w:eastAsia="宋体" w:cs="宋体"/>
          <w:b/>
          <w:sz w:val="32"/>
        </w:rPr>
      </w:pPr>
    </w:p>
    <w:p>
      <w:pPr>
        <w:spacing w:after="290" w:afterLines="100" w:line="360" w:lineRule="auto"/>
        <w:jc w:val="center"/>
        <w:rPr>
          <w:rStyle w:val="47"/>
          <w:rFonts w:ascii="宋体" w:hAnsi="宋体" w:cs="宋体"/>
          <w:bCs/>
          <w:sz w:val="36"/>
          <w:szCs w:val="36"/>
        </w:rPr>
      </w:pPr>
      <w:r>
        <w:rPr>
          <w:rStyle w:val="47"/>
          <w:rFonts w:hint="eastAsia" w:ascii="宋体" w:hAnsi="宋体" w:cs="宋体"/>
          <w:bCs/>
          <w:sz w:val="36"/>
          <w:szCs w:val="36"/>
        </w:rPr>
        <w:t>采购人：盐城工业职业技术学院</w:t>
      </w:r>
    </w:p>
    <w:p>
      <w:pPr>
        <w:pStyle w:val="10"/>
        <w:spacing w:line="360" w:lineRule="auto"/>
        <w:ind w:left="0" w:leftChars="0" w:right="0" w:rightChars="0"/>
        <w:jc w:val="center"/>
        <w:rPr>
          <w:rStyle w:val="47"/>
          <w:rFonts w:ascii="宋体" w:hAnsi="宋体" w:cs="宋体"/>
          <w:bCs/>
          <w:sz w:val="36"/>
          <w:szCs w:val="36"/>
        </w:rPr>
      </w:pPr>
      <w:r>
        <w:rPr>
          <w:rStyle w:val="47"/>
          <w:rFonts w:hint="eastAsia" w:ascii="宋体" w:hAnsi="宋体" w:cs="宋体"/>
          <w:bCs/>
          <w:sz w:val="36"/>
          <w:szCs w:val="36"/>
        </w:rPr>
        <w:t>代理人：江苏伟业项目管理有限公司</w:t>
      </w:r>
    </w:p>
    <w:p>
      <w:pPr>
        <w:jc w:val="center"/>
        <w:rPr>
          <w:rStyle w:val="47"/>
          <w:rFonts w:ascii="宋体" w:hAnsi="宋体" w:cs="宋体"/>
          <w:sz w:val="36"/>
          <w:szCs w:val="36"/>
        </w:rPr>
      </w:pPr>
    </w:p>
    <w:p>
      <w:pPr>
        <w:jc w:val="center"/>
        <w:rPr>
          <w:rStyle w:val="47"/>
          <w:rFonts w:ascii="宋体" w:hAnsi="宋体" w:cs="宋体"/>
          <w:sz w:val="36"/>
          <w:szCs w:val="36"/>
        </w:rPr>
      </w:pPr>
      <w:r>
        <w:rPr>
          <w:rStyle w:val="47"/>
          <w:rFonts w:hint="eastAsia" w:ascii="宋体" w:hAnsi="宋体" w:cs="宋体"/>
          <w:sz w:val="36"/>
          <w:szCs w:val="36"/>
        </w:rPr>
        <w:t>2023年</w:t>
      </w:r>
      <w:r>
        <w:rPr>
          <w:rStyle w:val="47"/>
          <w:rFonts w:hint="eastAsia" w:ascii="宋体" w:hAnsi="宋体" w:cs="宋体"/>
          <w:sz w:val="36"/>
          <w:szCs w:val="36"/>
          <w:lang w:val="en-US" w:eastAsia="zh-CN"/>
        </w:rPr>
        <w:t>11</w:t>
      </w:r>
      <w:r>
        <w:rPr>
          <w:rStyle w:val="47"/>
          <w:rFonts w:hint="eastAsia" w:ascii="宋体" w:hAnsi="宋体" w:cs="宋体"/>
          <w:sz w:val="36"/>
          <w:szCs w:val="36"/>
        </w:rPr>
        <w:t>月</w:t>
      </w:r>
      <w:r>
        <w:rPr>
          <w:rStyle w:val="47"/>
          <w:rFonts w:hint="eastAsia" w:ascii="宋体" w:hAnsi="宋体" w:cs="宋体"/>
          <w:sz w:val="36"/>
          <w:szCs w:val="36"/>
          <w:lang w:val="en-US" w:eastAsia="zh-CN"/>
        </w:rPr>
        <w:t>22</w:t>
      </w:r>
      <w:r>
        <w:rPr>
          <w:rStyle w:val="47"/>
          <w:rFonts w:hint="eastAsia" w:ascii="宋体" w:hAnsi="宋体" w:cs="宋体"/>
          <w:sz w:val="36"/>
          <w:szCs w:val="36"/>
        </w:rPr>
        <w:t>日</w:t>
      </w:r>
    </w:p>
    <w:p>
      <w:pPr>
        <w:spacing w:line="480" w:lineRule="auto"/>
        <w:rPr>
          <w:rStyle w:val="47"/>
          <w:rFonts w:ascii="宋体" w:hAnsi="宋体" w:cs="宋体"/>
        </w:rPr>
      </w:pPr>
    </w:p>
    <w:p>
      <w:pPr>
        <w:spacing w:line="480" w:lineRule="auto"/>
        <w:jc w:val="center"/>
        <w:rPr>
          <w:rStyle w:val="47"/>
          <w:rFonts w:ascii="宋体" w:hAnsi="宋体" w:cs="宋体"/>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9"/>
      </w:pPr>
    </w:p>
    <w:p>
      <w:pPr>
        <w:pStyle w:val="2"/>
        <w:rPr>
          <w:rFonts w:cs="宋体"/>
        </w:rPr>
      </w:pPr>
    </w:p>
    <w:p>
      <w:pPr>
        <w:spacing w:line="480" w:lineRule="auto"/>
        <w:jc w:val="center"/>
        <w:rPr>
          <w:rStyle w:val="47"/>
          <w:rFonts w:ascii="宋体" w:hAnsi="宋体" w:cs="宋体"/>
          <w:b/>
          <w:sz w:val="44"/>
        </w:rPr>
      </w:pPr>
      <w:r>
        <w:rPr>
          <w:rStyle w:val="47"/>
          <w:rFonts w:hint="eastAsia" w:ascii="宋体" w:hAnsi="宋体" w:cs="宋体"/>
          <w:b/>
          <w:sz w:val="44"/>
        </w:rPr>
        <w:t>总  目  录</w:t>
      </w:r>
    </w:p>
    <w:p>
      <w:pPr>
        <w:spacing w:line="480" w:lineRule="auto"/>
        <w:rPr>
          <w:rStyle w:val="47"/>
          <w:rFonts w:ascii="宋体" w:hAnsi="宋体" w:cs="宋体"/>
          <w:b/>
          <w:sz w:val="28"/>
        </w:rPr>
      </w:pPr>
    </w:p>
    <w:sdt>
      <w:sdtPr>
        <w:rPr>
          <w:rFonts w:ascii="宋体" w:hAnsi="宋体" w:eastAsia="楷体_GB2312"/>
          <w:sz w:val="28"/>
          <w:szCs w:val="28"/>
        </w:rPr>
        <w:id w:val="147461321"/>
        <w:docPartObj>
          <w:docPartGallery w:val="Table of Contents"/>
          <w:docPartUnique/>
        </w:docPartObj>
      </w:sdtPr>
      <w:sdtEndPr>
        <w:rPr>
          <w:rFonts w:ascii="宋体" w:hAnsi="宋体" w:eastAsia="楷体_GB2312" w:cs="宋体"/>
          <w:bCs/>
          <w:sz w:val="28"/>
          <w:szCs w:val="28"/>
        </w:rPr>
      </w:sdtEndPr>
      <w:sdtContent>
        <w:p>
          <w:pPr>
            <w:jc w:val="center"/>
          </w:pPr>
        </w:p>
        <w:p>
          <w:pPr>
            <w:pStyle w:val="162"/>
            <w:tabs>
              <w:tab w:val="right" w:leader="dot" w:pos="8953"/>
            </w:tabs>
            <w:rPr>
              <w:rFonts w:ascii="宋体" w:hAnsi="宋体" w:cs="宋体"/>
              <w:sz w:val="36"/>
              <w:szCs w:val="36"/>
            </w:rPr>
          </w:pPr>
          <w:r>
            <w:rPr>
              <w:rStyle w:val="47"/>
              <w:sz w:val="44"/>
            </w:rPr>
            <w:fldChar w:fldCharType="begin"/>
          </w:r>
          <w:r>
            <w:rPr>
              <w:rStyle w:val="47"/>
              <w:rFonts w:ascii="宋体" w:hAnsi="宋体" w:cs="宋体"/>
              <w:bCs/>
              <w:sz w:val="44"/>
            </w:rPr>
            <w:instrText xml:space="preserve">TOC \o "1-1" \h \u </w:instrText>
          </w:r>
          <w:r>
            <w:rPr>
              <w:rStyle w:val="47"/>
              <w:sz w:val="44"/>
            </w:rPr>
            <w:fldChar w:fldCharType="separate"/>
          </w:r>
          <w:r>
            <w:fldChar w:fldCharType="begin"/>
          </w:r>
          <w:r>
            <w:instrText xml:space="preserve"> HYPERLINK \l "_Toc18878" </w:instrText>
          </w:r>
          <w:r>
            <w:fldChar w:fldCharType="separate"/>
          </w:r>
          <w:r>
            <w:rPr>
              <w:rFonts w:hint="eastAsia" w:ascii="宋体" w:hAnsi="宋体" w:cs="宋体"/>
              <w:b/>
              <w:sz w:val="36"/>
              <w:szCs w:val="36"/>
            </w:rPr>
            <w:t xml:space="preserve">第一章  </w:t>
          </w:r>
          <w:r>
            <w:rPr>
              <w:rFonts w:hint="eastAsia" w:ascii="宋体" w:hAnsi="宋体" w:cs="宋体"/>
              <w:bCs/>
              <w:sz w:val="36"/>
              <w:szCs w:val="36"/>
            </w:rPr>
            <w:t>招标公告</w:t>
          </w:r>
          <w:r>
            <w:rPr>
              <w:rFonts w:hint="eastAsia" w:ascii="宋体" w:hAnsi="宋体" w:cs="宋体"/>
              <w:bCs/>
              <w:sz w:val="36"/>
              <w:szCs w:val="36"/>
            </w:rPr>
            <w:tab/>
          </w:r>
          <w:r>
            <w:rPr>
              <w:rFonts w:hint="eastAsia" w:ascii="宋体" w:hAnsi="宋体" w:cs="宋体"/>
              <w:bCs/>
              <w:sz w:val="36"/>
              <w:szCs w:val="36"/>
            </w:rPr>
            <w:fldChar w:fldCharType="begin"/>
          </w:r>
          <w:r>
            <w:rPr>
              <w:rFonts w:hint="eastAsia" w:ascii="宋体" w:hAnsi="宋体" w:cs="宋体"/>
              <w:bCs/>
              <w:sz w:val="36"/>
              <w:szCs w:val="36"/>
            </w:rPr>
            <w:instrText xml:space="preserve"> PAGEREF _Toc18878 \h </w:instrText>
          </w:r>
          <w:r>
            <w:rPr>
              <w:rFonts w:hint="eastAsia" w:ascii="宋体" w:hAnsi="宋体" w:cs="宋体"/>
              <w:bCs/>
              <w:sz w:val="36"/>
              <w:szCs w:val="36"/>
            </w:rPr>
            <w:fldChar w:fldCharType="separate"/>
          </w:r>
          <w:r>
            <w:rPr>
              <w:rFonts w:hint="eastAsia" w:ascii="宋体" w:hAnsi="宋体" w:cs="宋体"/>
              <w:bCs/>
              <w:sz w:val="36"/>
              <w:szCs w:val="36"/>
            </w:rPr>
            <w:t>2</w:t>
          </w:r>
          <w:r>
            <w:rPr>
              <w:rFonts w:hint="eastAsia" w:ascii="宋体" w:hAnsi="宋体" w:cs="宋体"/>
              <w:bCs/>
              <w:sz w:val="36"/>
              <w:szCs w:val="36"/>
            </w:rPr>
            <w:fldChar w:fldCharType="end"/>
          </w:r>
          <w:r>
            <w:rPr>
              <w:rFonts w:hint="eastAsia" w:ascii="宋体" w:hAnsi="宋体" w:cs="宋体"/>
              <w:bCs/>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"_Toc21663" </w:instrText>
          </w:r>
          <w:r>
            <w:fldChar w:fldCharType="separate"/>
          </w:r>
          <w:r>
            <w:rPr>
              <w:rFonts w:hint="eastAsia" w:ascii="宋体" w:hAnsi="宋体" w:cs="宋体"/>
              <w:b/>
              <w:bCs/>
              <w:sz w:val="36"/>
              <w:szCs w:val="36"/>
            </w:rPr>
            <w:t>第二章</w:t>
          </w:r>
          <w:r>
            <w:rPr>
              <w:rFonts w:hint="eastAsia" w:ascii="宋体" w:hAnsi="宋体" w:cs="宋体"/>
              <w:sz w:val="36"/>
              <w:szCs w:val="36"/>
            </w:rPr>
            <w:t xml:space="preserve">  投标人须知</w:t>
          </w:r>
          <w:r>
            <w:rPr>
              <w:rFonts w:hint="eastAsia" w:ascii="宋体" w:hAnsi="宋体" w:cs="宋体"/>
              <w:sz w:val="36"/>
              <w:szCs w:val="36"/>
            </w:rPr>
            <w:tab/>
          </w:r>
          <w:r>
            <w:rPr>
              <w:rFonts w:hint="eastAsia" w:ascii="宋体" w:hAnsi="宋体" w:cs="宋体"/>
              <w:sz w:val="36"/>
              <w:szCs w:val="36"/>
            </w:rPr>
            <w:t>5</w:t>
          </w:r>
          <w:r>
            <w:rPr>
              <w:rFonts w:hint="eastAsia" w:ascii="宋体" w:hAnsi="宋体" w:cs="宋体"/>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"_Toc19468" </w:instrText>
          </w:r>
          <w:r>
            <w:fldChar w:fldCharType="separate"/>
          </w:r>
          <w:r>
            <w:rPr>
              <w:rFonts w:hint="eastAsia" w:ascii="宋体" w:hAnsi="宋体" w:cs="宋体"/>
              <w:b/>
              <w:bCs/>
              <w:sz w:val="36"/>
              <w:szCs w:val="36"/>
            </w:rPr>
            <w:t>第三章</w:t>
          </w:r>
          <w:r>
            <w:rPr>
              <w:rFonts w:hint="eastAsia" w:ascii="宋体" w:hAnsi="宋体" w:cs="宋体"/>
              <w:sz w:val="36"/>
              <w:szCs w:val="36"/>
            </w:rPr>
            <w:t xml:space="preserve">  合同条款及格式</w:t>
          </w:r>
          <w:r>
            <w:rPr>
              <w:rFonts w:hint="eastAsia" w:ascii="宋体" w:hAnsi="宋体" w:cs="宋体"/>
              <w:sz w:val="36"/>
              <w:szCs w:val="36"/>
            </w:rPr>
            <w:tab/>
          </w:r>
          <w:r>
            <w:rPr>
              <w:rFonts w:hint="eastAsia" w:ascii="宋体" w:hAnsi="宋体" w:cs="宋体"/>
              <w:sz w:val="36"/>
              <w:szCs w:val="36"/>
            </w:rPr>
            <w:t>1</w:t>
          </w:r>
          <w:r>
            <w:rPr>
              <w:rFonts w:hint="eastAsia" w:ascii="宋体" w:hAnsi="宋体" w:cs="宋体"/>
              <w:sz w:val="36"/>
              <w:szCs w:val="36"/>
            </w:rPr>
            <w:fldChar w:fldCharType="end"/>
          </w:r>
          <w:r>
            <w:rPr>
              <w:rFonts w:hint="eastAsia" w:ascii="宋体" w:hAnsi="宋体" w:cs="宋体"/>
              <w:sz w:val="36"/>
              <w:szCs w:val="36"/>
            </w:rPr>
            <w:t>7</w:t>
          </w:r>
        </w:p>
        <w:p>
          <w:pPr>
            <w:pStyle w:val="162"/>
            <w:tabs>
              <w:tab w:val="right" w:leader="dot" w:pos="8953"/>
            </w:tabs>
            <w:rPr>
              <w:rFonts w:ascii="宋体" w:hAnsi="宋体" w:cs="宋体"/>
              <w:sz w:val="36"/>
              <w:szCs w:val="36"/>
            </w:rPr>
          </w:pPr>
          <w:r>
            <w:fldChar w:fldCharType="begin"/>
          </w:r>
          <w:r>
            <w:instrText xml:space="preserve"> HYPERLINK \l "_Toc17926" </w:instrText>
          </w:r>
          <w:r>
            <w:fldChar w:fldCharType="separate"/>
          </w:r>
          <w:r>
            <w:rPr>
              <w:rFonts w:hint="eastAsia" w:ascii="宋体" w:hAnsi="宋体" w:cs="宋体"/>
              <w:b/>
              <w:bCs/>
              <w:sz w:val="36"/>
              <w:szCs w:val="36"/>
            </w:rPr>
            <w:t xml:space="preserve">第四章 </w:t>
          </w:r>
          <w:r>
            <w:rPr>
              <w:rFonts w:ascii="宋体" w:hAnsi="宋体" w:cs="宋体"/>
              <w:b/>
              <w:bCs/>
              <w:sz w:val="36"/>
              <w:szCs w:val="36"/>
            </w:rPr>
            <w:t xml:space="preserve"> </w:t>
          </w:r>
          <w:r>
            <w:rPr>
              <w:rFonts w:hint="eastAsia" w:ascii="宋体" w:hAnsi="宋体" w:cs="宋体"/>
              <w:sz w:val="36"/>
              <w:szCs w:val="36"/>
            </w:rPr>
            <w:t>项目需求</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rPr>
            <w:t>1</w:t>
          </w:r>
        </w:p>
        <w:p>
          <w:pPr>
            <w:pStyle w:val="162"/>
            <w:tabs>
              <w:tab w:val="right" w:leader="dot" w:pos="8953"/>
            </w:tabs>
            <w:rPr>
              <w:rFonts w:hint="eastAsia" w:ascii="宋体" w:hAnsi="宋体" w:eastAsia="宋体" w:cs="宋体"/>
              <w:sz w:val="36"/>
              <w:szCs w:val="36"/>
              <w:lang w:eastAsia="zh-CN"/>
            </w:rPr>
          </w:pPr>
          <w:r>
            <w:fldChar w:fldCharType="begin"/>
          </w:r>
          <w:r>
            <w:instrText xml:space="preserve"> HYPERLINK \l "_Toc32259" </w:instrText>
          </w:r>
          <w:r>
            <w:fldChar w:fldCharType="separate"/>
          </w:r>
          <w:r>
            <w:rPr>
              <w:rFonts w:hint="eastAsia" w:ascii="宋体" w:hAnsi="宋体" w:cs="宋体"/>
              <w:b/>
              <w:bCs/>
              <w:sz w:val="36"/>
              <w:szCs w:val="36"/>
            </w:rPr>
            <w:t>第五章</w:t>
          </w:r>
          <w:r>
            <w:rPr>
              <w:rFonts w:hint="eastAsia" w:ascii="宋体" w:hAnsi="宋体" w:cs="宋体"/>
              <w:sz w:val="36"/>
              <w:szCs w:val="36"/>
            </w:rPr>
            <w:t xml:space="preserve">  评标方法与评标标准</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6</w:t>
          </w:r>
        </w:p>
        <w:p>
          <w:pPr>
            <w:pStyle w:val="162"/>
            <w:tabs>
              <w:tab w:val="right" w:leader="dot" w:pos="8953"/>
            </w:tabs>
          </w:pPr>
          <w:r>
            <w:fldChar w:fldCharType="begin"/>
          </w:r>
          <w:r>
            <w:instrText xml:space="preserve"> HYPERLINK \l "_Toc20541" </w:instrText>
          </w:r>
          <w:r>
            <w:fldChar w:fldCharType="separate"/>
          </w:r>
          <w:r>
            <w:rPr>
              <w:rFonts w:hint="eastAsia" w:ascii="宋体" w:hAnsi="宋体" w:cs="宋体"/>
              <w:b/>
              <w:bCs/>
              <w:sz w:val="36"/>
              <w:szCs w:val="36"/>
            </w:rPr>
            <w:t>第六章</w:t>
          </w:r>
          <w:r>
            <w:rPr>
              <w:rFonts w:hint="eastAsia" w:ascii="宋体" w:hAnsi="宋体" w:cs="宋体"/>
              <w:sz w:val="36"/>
              <w:szCs w:val="36"/>
            </w:rPr>
            <w:t xml:space="preserve">  投标文件格式</w:t>
          </w:r>
          <w:r>
            <w:rPr>
              <w:rFonts w:hint="eastAsia" w:ascii="宋体" w:hAnsi="宋体" w:cs="宋体"/>
              <w:sz w:val="36"/>
              <w:szCs w:val="36"/>
            </w:rPr>
            <w:tab/>
          </w:r>
          <w:r>
            <w:rPr>
              <w:rFonts w:hint="eastAsia" w:ascii="宋体" w:hAnsi="宋体" w:cs="宋体"/>
              <w:sz w:val="36"/>
              <w:szCs w:val="36"/>
              <w:lang w:val="en-US" w:eastAsia="zh-CN"/>
            </w:rPr>
            <w:t>31</w:t>
          </w:r>
          <w:r>
            <w:rPr>
              <w:rFonts w:hint="eastAsia" w:ascii="宋体" w:hAnsi="宋体" w:cs="宋体"/>
              <w:sz w:val="36"/>
              <w:szCs w:val="36"/>
            </w:rPr>
            <w:fldChar w:fldCharType="end"/>
          </w:r>
        </w:p>
        <w:p>
          <w:pPr>
            <w:pStyle w:val="162"/>
            <w:tabs>
              <w:tab w:val="right" w:leader="dot" w:pos="8953"/>
            </w:tabs>
          </w:pPr>
        </w:p>
        <w:p>
          <w:pPr>
            <w:pStyle w:val="37"/>
            <w:jc w:val="both"/>
            <w:rPr>
              <w:rFonts w:ascii="宋体" w:hAnsi="宋体" w:eastAsia="宋体" w:cs="宋体"/>
              <w:bCs/>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rPr>
            <w:fldChar w:fldCharType="end"/>
          </w:r>
        </w:p>
      </w:sdtContent>
    </w:sdt>
    <w:p>
      <w:pPr>
        <w:pStyle w:val="37"/>
        <w:outlineLvl w:val="0"/>
        <w:rPr>
          <w:rStyle w:val="47"/>
          <w:rFonts w:ascii="宋体" w:hAnsi="宋体" w:eastAsia="宋体" w:cs="宋体"/>
          <w:b/>
          <w:bCs/>
          <w:sz w:val="44"/>
          <w:szCs w:val="44"/>
        </w:rPr>
      </w:pPr>
      <w:bookmarkStart w:id="0" w:name="_Toc18878"/>
      <w:r>
        <w:rPr>
          <w:rStyle w:val="47"/>
          <w:rFonts w:hint="eastAsia" w:ascii="宋体" w:hAnsi="宋体" w:eastAsia="宋体" w:cs="宋体"/>
          <w:b/>
          <w:bCs/>
          <w:sz w:val="44"/>
          <w:szCs w:val="44"/>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rPr>
      </w:pPr>
      <w:r>
        <w:rPr>
          <w:rStyle w:val="47"/>
          <w:rFonts w:hint="eastAsia" w:ascii="宋体" w:hAnsi="宋体" w:eastAsia="宋体" w:cs="宋体"/>
          <w:b/>
          <w:bCs/>
          <w:sz w:val="32"/>
          <w:szCs w:val="32"/>
          <w:lang w:eastAsia="zh-CN"/>
        </w:rPr>
        <w:t>盐城工业职业技术学院商务数据分析软件（</w:t>
      </w:r>
      <w:r>
        <w:rPr>
          <w:rStyle w:val="47"/>
          <w:rFonts w:hint="eastAsia" w:ascii="宋体" w:hAnsi="宋体" w:eastAsia="宋体" w:cs="宋体"/>
          <w:b/>
          <w:bCs/>
          <w:sz w:val="32"/>
          <w:szCs w:val="32"/>
          <w:lang w:val="en-US" w:eastAsia="zh-CN"/>
        </w:rPr>
        <w:t>二次</w:t>
      </w:r>
      <w:r>
        <w:rPr>
          <w:rStyle w:val="47"/>
          <w:rFonts w:hint="eastAsia" w:ascii="宋体" w:hAnsi="宋体" w:eastAsia="宋体" w:cs="宋体"/>
          <w:b/>
          <w:bCs/>
          <w:sz w:val="32"/>
          <w:szCs w:val="32"/>
          <w:lang w:eastAsia="zh-CN"/>
        </w:rPr>
        <w:t>）</w:t>
      </w:r>
      <w:r>
        <w:rPr>
          <w:rStyle w:val="47"/>
          <w:rFonts w:hint="eastAsia" w:ascii="宋体" w:hAnsi="宋体" w:eastAsia="宋体" w:cs="宋体"/>
          <w:b/>
          <w:bCs/>
          <w:sz w:val="32"/>
          <w:szCs w:val="32"/>
        </w:rPr>
        <w:t>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sz w:val="24"/>
          <w:szCs w:val="24"/>
        </w:rPr>
      </w:pPr>
      <w:r>
        <w:rPr>
          <w:rStyle w:val="47"/>
          <w:rFonts w:hint="eastAsia" w:ascii="宋体" w:hAnsi="宋体" w:cs="宋体"/>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sz w:val="24"/>
          <w:szCs w:val="24"/>
        </w:rPr>
      </w:pPr>
      <w:r>
        <w:rPr>
          <w:rStyle w:val="47"/>
          <w:rFonts w:hint="eastAsia" w:ascii="宋体" w:hAnsi="宋体" w:cs="宋体"/>
          <w:bCs/>
          <w:sz w:val="24"/>
          <w:szCs w:val="24"/>
          <w:u w:val="single" w:color="000000"/>
          <w:lang w:eastAsia="zh-CN"/>
        </w:rPr>
        <w:t>盐城工业职业技术学院商务数据分析软件</w:t>
      </w:r>
      <w:r>
        <w:rPr>
          <w:rStyle w:val="47"/>
          <w:rFonts w:hint="eastAsia" w:ascii="宋体" w:hAnsi="宋体" w:cs="宋体"/>
          <w:bCs/>
          <w:sz w:val="24"/>
          <w:szCs w:val="24"/>
        </w:rPr>
        <w:t>招标项目的潜在投标人应在“</w:t>
      </w:r>
      <w:r>
        <w:rPr>
          <w:rStyle w:val="47"/>
          <w:rFonts w:hint="eastAsia" w:ascii="宋体" w:hAnsi="宋体"/>
          <w:bCs/>
          <w:sz w:val="24"/>
          <w:szCs w:val="24"/>
          <w:u w:val="single"/>
        </w:rPr>
        <w:t>盐城工业职业技术学院招标采购网</w:t>
      </w:r>
      <w:r>
        <w:rPr>
          <w:rStyle w:val="47"/>
          <w:rFonts w:hint="eastAsia" w:ascii="宋体" w:hAnsi="宋体" w:cs="宋体"/>
          <w:bCs/>
          <w:sz w:val="24"/>
          <w:szCs w:val="24"/>
          <w:u w:val="single"/>
        </w:rPr>
        <w:t>”</w:t>
      </w:r>
      <w:r>
        <w:rPr>
          <w:rStyle w:val="47"/>
          <w:rFonts w:hint="eastAsia" w:ascii="宋体" w:hAnsi="宋体" w:cs="宋体"/>
          <w:bCs/>
          <w:sz w:val="24"/>
          <w:szCs w:val="24"/>
        </w:rPr>
        <w:t>获</w:t>
      </w:r>
      <w:r>
        <w:rPr>
          <w:rStyle w:val="47"/>
          <w:rFonts w:hint="eastAsia" w:ascii="宋体" w:hAnsi="宋体" w:cs="宋体"/>
          <w:sz w:val="24"/>
          <w:szCs w:val="24"/>
        </w:rPr>
        <w:t>取招标文件，并于</w:t>
      </w:r>
      <w:r>
        <w:rPr>
          <w:rStyle w:val="47"/>
          <w:rFonts w:hint="eastAsia" w:ascii="宋体" w:hAnsi="宋体" w:cs="宋体"/>
          <w:sz w:val="24"/>
          <w:szCs w:val="24"/>
          <w:u w:val="single" w:color="000000"/>
        </w:rPr>
        <w:t>2023</w:t>
      </w:r>
      <w:r>
        <w:rPr>
          <w:rStyle w:val="47"/>
          <w:rFonts w:hint="eastAsia" w:ascii="宋体" w:hAnsi="宋体" w:cs="宋体"/>
          <w:bCs/>
          <w:sz w:val="24"/>
          <w:szCs w:val="24"/>
          <w:u w:val="single" w:color="000000"/>
        </w:rPr>
        <w:t>年</w:t>
      </w:r>
      <w:r>
        <w:rPr>
          <w:rStyle w:val="47"/>
          <w:rFonts w:hint="eastAsia" w:ascii="宋体" w:hAnsi="宋体" w:cs="宋体"/>
          <w:bCs/>
          <w:sz w:val="24"/>
          <w:szCs w:val="24"/>
          <w:u w:val="single" w:color="000000"/>
          <w:lang w:val="en-US" w:eastAsia="zh-CN"/>
        </w:rPr>
        <w:t>12</w:t>
      </w:r>
      <w:r>
        <w:rPr>
          <w:rStyle w:val="47"/>
          <w:rFonts w:hint="eastAsia" w:ascii="宋体" w:hAnsi="宋体" w:cs="宋体"/>
          <w:bCs/>
          <w:sz w:val="24"/>
          <w:szCs w:val="24"/>
          <w:u w:val="single" w:color="000000"/>
        </w:rPr>
        <w:t>月</w:t>
      </w:r>
      <w:r>
        <w:rPr>
          <w:rStyle w:val="47"/>
          <w:rFonts w:hint="eastAsia" w:ascii="宋体" w:hAnsi="宋体" w:cs="宋体"/>
          <w:bCs/>
          <w:sz w:val="24"/>
          <w:szCs w:val="24"/>
          <w:u w:val="single" w:color="000000"/>
          <w:lang w:val="en-US" w:eastAsia="zh-CN"/>
        </w:rPr>
        <w:t>13</w:t>
      </w:r>
      <w:r>
        <w:rPr>
          <w:rStyle w:val="47"/>
          <w:rFonts w:hint="eastAsia" w:ascii="宋体" w:hAnsi="宋体" w:cs="宋体"/>
          <w:bCs/>
          <w:sz w:val="24"/>
          <w:szCs w:val="24"/>
          <w:u w:val="single" w:color="000000"/>
        </w:rPr>
        <w:t>日9点00分（</w:t>
      </w:r>
      <w:r>
        <w:rPr>
          <w:rStyle w:val="47"/>
          <w:rFonts w:hint="eastAsia" w:ascii="宋体" w:hAnsi="宋体" w:cs="宋体"/>
          <w:bCs/>
          <w:sz w:val="24"/>
          <w:szCs w:val="24"/>
        </w:rPr>
        <w:t>北京时间）前递交投标文件</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一、项目基本情况</w:t>
      </w:r>
    </w:p>
    <w:p>
      <w:pPr>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项目编号：</w:t>
      </w:r>
      <w:r>
        <w:rPr>
          <w:rStyle w:val="47"/>
          <w:rFonts w:hint="eastAsia" w:ascii="宋体" w:hAnsi="宋体" w:cs="宋体"/>
          <w:sz w:val="24"/>
          <w:szCs w:val="24"/>
          <w:u w:val="single"/>
        </w:rPr>
        <w:t>2023-</w:t>
      </w:r>
      <w:r>
        <w:rPr>
          <w:rStyle w:val="47"/>
          <w:rFonts w:hint="eastAsia" w:ascii="宋体" w:hAnsi="宋体" w:cs="宋体"/>
          <w:sz w:val="24"/>
          <w:szCs w:val="24"/>
          <w:u w:val="single"/>
          <w:lang w:eastAsia="zh-CN"/>
        </w:rPr>
        <w:t>031W</w:t>
      </w:r>
    </w:p>
    <w:p>
      <w:pPr>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项目名称：</w:t>
      </w:r>
      <w:r>
        <w:rPr>
          <w:rStyle w:val="47"/>
          <w:rFonts w:hint="eastAsia" w:ascii="宋体" w:hAnsi="宋体" w:cs="宋体"/>
          <w:sz w:val="24"/>
          <w:szCs w:val="24"/>
          <w:u w:val="single"/>
          <w:lang w:eastAsia="zh-CN"/>
        </w:rPr>
        <w:t>盐城工业职业技术学院商务数据分析软件</w:t>
      </w:r>
    </w:p>
    <w:p>
      <w:pPr>
        <w:pStyle w:val="146"/>
        <w:widowControl w:val="0"/>
        <w:tabs>
          <w:tab w:val="left" w:pos="0"/>
        </w:tabs>
        <w:adjustRightInd w:val="0"/>
        <w:snapToGrid w:val="0"/>
        <w:spacing w:line="360" w:lineRule="auto"/>
        <w:ind w:left="0" w:firstLine="480" w:firstLineChars="200"/>
        <w:rPr>
          <w:rStyle w:val="47"/>
          <w:rFonts w:ascii="宋体" w:hAnsi="宋体" w:cs="宋体"/>
          <w:szCs w:val="24"/>
          <w:u w:val="single"/>
          <w:lang w:eastAsia="zh-CN"/>
        </w:rPr>
      </w:pPr>
      <w:r>
        <w:rPr>
          <w:rStyle w:val="47"/>
          <w:rFonts w:hint="eastAsia" w:ascii="宋体" w:hAnsi="宋体" w:cs="宋体"/>
          <w:szCs w:val="24"/>
          <w:lang w:eastAsia="zh-CN"/>
        </w:rPr>
        <w:t>最高限价：</w:t>
      </w:r>
      <w:r>
        <w:rPr>
          <w:rStyle w:val="47"/>
          <w:rFonts w:hint="eastAsia" w:ascii="宋体" w:hAnsi="宋体" w:cs="宋体"/>
          <w:szCs w:val="24"/>
          <w:u w:val="single"/>
          <w:lang w:val="en-US" w:eastAsia="zh-CN"/>
        </w:rPr>
        <w:t>20</w:t>
      </w:r>
      <w:r>
        <w:rPr>
          <w:rStyle w:val="47"/>
          <w:rFonts w:hint="eastAsia" w:ascii="宋体" w:hAnsi="宋体" w:cs="宋体"/>
          <w:szCs w:val="24"/>
          <w:u w:val="single"/>
          <w:lang w:eastAsia="zh-CN"/>
        </w:rPr>
        <w:t>万元</w:t>
      </w:r>
    </w:p>
    <w:p>
      <w:pPr>
        <w:adjustRightInd w:val="0"/>
        <w:snapToGrid w:val="0"/>
        <w:spacing w:line="336" w:lineRule="auto"/>
        <w:ind w:firstLine="480" w:firstLineChars="200"/>
        <w:rPr>
          <w:rStyle w:val="47"/>
          <w:rFonts w:ascii="宋体" w:hAnsi="宋体" w:cs="宋体"/>
          <w:sz w:val="24"/>
          <w:szCs w:val="24"/>
          <w:u w:val="single"/>
        </w:rPr>
      </w:pPr>
      <w:r>
        <w:rPr>
          <w:rStyle w:val="47"/>
          <w:rFonts w:hint="eastAsia" w:ascii="宋体" w:hAnsi="宋体" w:cs="宋体"/>
          <w:sz w:val="24"/>
          <w:szCs w:val="24"/>
        </w:rPr>
        <w:t>采购需求：</w:t>
      </w:r>
      <w:r>
        <w:rPr>
          <w:rStyle w:val="47"/>
          <w:rFonts w:hint="eastAsia" w:ascii="宋体" w:hAnsi="宋体" w:cs="宋体"/>
          <w:sz w:val="24"/>
          <w:szCs w:val="24"/>
          <w:lang w:val="en-US" w:eastAsia="zh-CN"/>
        </w:rPr>
        <w:t>拟对</w:t>
      </w:r>
      <w:r>
        <w:rPr>
          <w:rStyle w:val="47"/>
          <w:rFonts w:hint="eastAsia" w:ascii="宋体" w:hAnsi="宋体" w:cs="宋体"/>
          <w:sz w:val="24"/>
          <w:szCs w:val="24"/>
          <w:u w:val="single"/>
          <w:lang w:eastAsia="zh-CN"/>
        </w:rPr>
        <w:t>盐城工业职业技术学院商务数据分析软件</w:t>
      </w:r>
      <w:r>
        <w:rPr>
          <w:rStyle w:val="47"/>
          <w:rFonts w:hint="eastAsia" w:ascii="宋体" w:hAnsi="宋体" w:cs="宋体"/>
          <w:sz w:val="24"/>
          <w:szCs w:val="24"/>
          <w:u w:val="single"/>
          <w:lang w:val="en-US" w:eastAsia="zh-CN"/>
        </w:rPr>
        <w:t>进行采购</w:t>
      </w:r>
      <w:r>
        <w:rPr>
          <w:rStyle w:val="47"/>
          <w:rFonts w:hint="eastAsia" w:ascii="宋体" w:hAnsi="宋体" w:cs="宋体"/>
          <w:color w:val="000000" w:themeColor="text1"/>
          <w:sz w:val="24"/>
          <w:szCs w:val="24"/>
          <w:u w:val="single"/>
          <w14:textFill>
            <w14:solidFill>
              <w14:schemeClr w14:val="tx1"/>
            </w14:solidFill>
          </w14:textFill>
        </w:rPr>
        <w:t>。具体产品名称、数量、规格及技术参数等以招标文件为准，采购人保留对上述采购规模进行调整的权利。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sz w:val="24"/>
          <w:szCs w:val="24"/>
          <w:u w:val="single"/>
        </w:rPr>
      </w:pPr>
      <w:r>
        <w:rPr>
          <w:rStyle w:val="47"/>
          <w:rFonts w:hint="eastAsia" w:ascii="宋体" w:hAnsi="宋体" w:cs="宋体"/>
          <w:sz w:val="24"/>
          <w:szCs w:val="24"/>
        </w:rPr>
        <w:t>合同履行期限：</w:t>
      </w:r>
      <w:r>
        <w:rPr>
          <w:rStyle w:val="47"/>
          <w:rFonts w:hint="eastAsia" w:ascii="宋体" w:hAnsi="宋体" w:cs="宋体"/>
          <w:sz w:val="24"/>
          <w:szCs w:val="24"/>
          <w:u w:val="single"/>
        </w:rPr>
        <w:t>在签订合同后</w:t>
      </w:r>
      <w:r>
        <w:rPr>
          <w:rStyle w:val="47"/>
          <w:rFonts w:hint="eastAsia" w:ascii="宋体" w:hAnsi="宋体" w:cs="宋体"/>
          <w:sz w:val="24"/>
          <w:szCs w:val="24"/>
          <w:u w:val="single"/>
          <w:lang w:val="en-US" w:eastAsia="zh-CN"/>
        </w:rPr>
        <w:t>15</w:t>
      </w:r>
      <w:r>
        <w:rPr>
          <w:rStyle w:val="47"/>
          <w:rFonts w:hint="eastAsia" w:ascii="宋体" w:hAnsi="宋体" w:cs="宋体"/>
          <w:sz w:val="24"/>
          <w:szCs w:val="24"/>
          <w:u w:val="single"/>
        </w:rPr>
        <w:t>个日历天内完成全部内容（如甲方需要延时交付，可另行约定时间）。</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本项目</w:t>
      </w:r>
      <w:r>
        <w:rPr>
          <w:rStyle w:val="47"/>
          <w:rFonts w:hint="eastAsia" w:ascii="宋体" w:hAnsi="宋体" w:cs="宋体"/>
          <w:b/>
          <w:bCs/>
          <w:sz w:val="24"/>
          <w:szCs w:val="24"/>
          <w:u w:val="single"/>
        </w:rPr>
        <w:t>不接受</w:t>
      </w:r>
      <w:r>
        <w:rPr>
          <w:rStyle w:val="47"/>
          <w:rFonts w:hint="eastAsia" w:ascii="宋体" w:hAnsi="宋体" w:cs="宋体"/>
          <w:sz w:val="24"/>
          <w:szCs w:val="24"/>
        </w:rPr>
        <w:t>联合体投标。</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二、投标人的资格要求：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（2）上一年度（2022年）的财务报表（成立不满一年不需提供）；</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（3）依法缴纳税收和社会保障资金的相关材料，</w:t>
      </w:r>
      <w:r>
        <w:rPr>
          <w:rStyle w:val="47"/>
          <w:rFonts w:hint="eastAsia" w:ascii="宋体" w:hAnsi="宋体"/>
          <w:sz w:val="24"/>
          <w:szCs w:val="24"/>
        </w:rPr>
        <w:t>依法免税或不需要缴纳社会保障资金的，应提供相应文件证明材料</w:t>
      </w:r>
      <w:r>
        <w:rPr>
          <w:rStyle w:val="47"/>
          <w:rFonts w:hint="eastAsia" w:ascii="宋体" w:hAnsi="宋体" w:cs="宋体"/>
          <w:sz w:val="24"/>
          <w:szCs w:val="24"/>
        </w:rPr>
        <w:t>；</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（4）具备履行合同所必需的设备和专业技术能力的书面声明；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（5）参加政府采购活动前3年内在经营活动中没有重大违法记录的书面声明；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2.落实政府采购政策需满足的资格要求：本项目为专门面向中小企业采购的项目,供应商须为中小微企业，不接受大型企业参与本项目投标。。</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3.本项目的特定资格要求：</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（1）未被“信用中国”网站（www.creditchina.gov.cn）列入失信被执行人、重大税收违法案件当事人名单、政府采购严重失信行为记录名单。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（2）单位负责人为同一人或者存在直接控股、管理关系的不同供应商，不得参加同一合同项下的政府采购活动。</w:t>
      </w:r>
    </w:p>
    <w:p>
      <w:pPr>
        <w:widowControl w:val="0"/>
        <w:adjustRightInd w:val="0"/>
        <w:snapToGrid w:val="0"/>
        <w:spacing w:line="360" w:lineRule="auto"/>
        <w:ind w:firstLine="482" w:firstLineChars="200"/>
        <w:rPr>
          <w:rStyle w:val="47"/>
          <w:rFonts w:hint="eastAsia" w:ascii="宋体" w:hAnsi="宋体" w:cs="宋体"/>
          <w:b/>
          <w:bCs/>
          <w:sz w:val="24"/>
          <w:szCs w:val="24"/>
        </w:rPr>
      </w:pPr>
      <w:r>
        <w:rPr>
          <w:rStyle w:val="47"/>
          <w:rFonts w:hint="eastAsia" w:ascii="宋体" w:hAnsi="宋体" w:cs="宋体"/>
          <w:b/>
          <w:bCs/>
          <w:sz w:val="24"/>
          <w:szCs w:val="24"/>
        </w:rPr>
        <w:t>三、获取招标文件</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时间：自公告之日起至投标截止时间前1日</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地点：盐城工业职业技术学院招标采购网</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方式：符合资格要求的投标人可自行下载采购文件，采购文件见盐城工业职业技术学院招标采购网本公告附件。</w:t>
      </w:r>
    </w:p>
    <w:p>
      <w:pPr>
        <w:adjustRightInd w:val="0"/>
        <w:snapToGrid w:val="0"/>
        <w:spacing w:line="360" w:lineRule="auto"/>
        <w:ind w:firstLine="480" w:firstLineChars="200"/>
        <w:rPr>
          <w:rStyle w:val="47"/>
          <w:rFonts w:ascii="宋体" w:hAnsi="宋体" w:cs="宋体"/>
          <w:sz w:val="24"/>
          <w:szCs w:val="24"/>
        </w:rPr>
      </w:pPr>
      <w:r>
        <w:rPr>
          <w:rFonts w:hint="eastAsia" w:ascii="宋体" w:hAnsi="宋体" w:cs="宋体"/>
          <w:bCs/>
          <w:sz w:val="24"/>
          <w:szCs w:val="24"/>
        </w:rPr>
        <w:t>报名时间及地点：本公告发布后凡具备上述资格条件，并自愿参加本项目投标的投标人应于2023年</w:t>
      </w:r>
      <w:r>
        <w:rPr>
          <w:rFonts w:hint="eastAsia" w:ascii="宋体" w:hAnsi="宋体" w:cs="宋体"/>
          <w:bCs/>
          <w:sz w:val="24"/>
          <w:szCs w:val="24"/>
          <w:lang w:val="en-US" w:eastAsia="zh-CN"/>
        </w:rPr>
        <w:t>11</w:t>
      </w:r>
      <w:r>
        <w:rPr>
          <w:rFonts w:hint="eastAsia" w:ascii="宋体" w:hAnsi="宋体" w:cs="宋体"/>
          <w:bCs/>
          <w:sz w:val="24"/>
          <w:szCs w:val="24"/>
        </w:rPr>
        <w:t>月</w:t>
      </w:r>
      <w:r>
        <w:rPr>
          <w:rFonts w:hint="eastAsia" w:ascii="宋体" w:hAnsi="宋体" w:cs="宋体"/>
          <w:bCs/>
          <w:sz w:val="24"/>
          <w:szCs w:val="24"/>
          <w:lang w:val="en-US" w:eastAsia="zh-CN"/>
        </w:rPr>
        <w:t>22</w:t>
      </w:r>
      <w:r>
        <w:rPr>
          <w:rFonts w:hint="eastAsia" w:ascii="宋体" w:hAnsi="宋体" w:cs="宋体"/>
          <w:bCs/>
          <w:sz w:val="24"/>
          <w:szCs w:val="24"/>
        </w:rPr>
        <w:t>日至2023年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1</w:t>
      </w:r>
      <w:r>
        <w:rPr>
          <w:rFonts w:hint="eastAsia" w:ascii="宋体" w:hAnsi="宋体" w:cs="宋体"/>
          <w:bCs/>
          <w:sz w:val="24"/>
          <w:szCs w:val="24"/>
        </w:rPr>
        <w:t>日委派本单位正式人员携带单位介绍信或授权委托书扫描件至我单位或添加微信（微信号:13305104722）购买招标文件，逾期的不予接收。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售价：人民币500元，售后不退。</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四、提交投标文件截止时间、开标时间和地点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时间：2023</w:t>
      </w:r>
      <w:r>
        <w:rPr>
          <w:rStyle w:val="47"/>
          <w:rFonts w:hint="eastAsia" w:ascii="宋体" w:hAnsi="宋体" w:cs="宋体"/>
          <w:bCs/>
          <w:sz w:val="24"/>
          <w:szCs w:val="24"/>
        </w:rPr>
        <w:t>年</w:t>
      </w:r>
      <w:r>
        <w:rPr>
          <w:rStyle w:val="47"/>
          <w:rFonts w:hint="eastAsia" w:ascii="宋体" w:hAnsi="宋体" w:cs="宋体"/>
          <w:bCs/>
          <w:sz w:val="24"/>
          <w:szCs w:val="24"/>
          <w:lang w:val="en-US" w:eastAsia="zh-CN"/>
        </w:rPr>
        <w:t>12</w:t>
      </w:r>
      <w:r>
        <w:rPr>
          <w:rStyle w:val="47"/>
          <w:rFonts w:hint="eastAsia" w:ascii="宋体" w:hAnsi="宋体" w:cs="宋体"/>
          <w:bCs/>
          <w:sz w:val="24"/>
          <w:szCs w:val="24"/>
        </w:rPr>
        <w:t>月</w:t>
      </w:r>
      <w:r>
        <w:rPr>
          <w:rStyle w:val="47"/>
          <w:rFonts w:hint="eastAsia" w:ascii="宋体" w:hAnsi="宋体" w:cs="宋体"/>
          <w:bCs/>
          <w:sz w:val="24"/>
          <w:szCs w:val="24"/>
          <w:lang w:val="en-US" w:eastAsia="zh-CN"/>
        </w:rPr>
        <w:t>13</w:t>
      </w:r>
      <w:r>
        <w:rPr>
          <w:rStyle w:val="47"/>
          <w:rFonts w:hint="eastAsia" w:ascii="宋体" w:hAnsi="宋体" w:cs="宋体"/>
          <w:bCs/>
          <w:sz w:val="24"/>
          <w:szCs w:val="24"/>
        </w:rPr>
        <w:t>日9点00分</w:t>
      </w:r>
      <w:r>
        <w:rPr>
          <w:rStyle w:val="47"/>
          <w:rFonts w:hint="eastAsia" w:ascii="宋体" w:hAnsi="宋体" w:cs="宋体"/>
          <w:sz w:val="24"/>
          <w:szCs w:val="24"/>
        </w:rPr>
        <w:t>（北京时间）</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地点：</w:t>
      </w:r>
      <w:r>
        <w:rPr>
          <w:rStyle w:val="47"/>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五、公告期限</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kern w:val="0"/>
          <w:sz w:val="24"/>
          <w:szCs w:val="24"/>
        </w:rPr>
        <w:t>自本公告发布之日起5个工作日。</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六、其他补充事宜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sz w:val="24"/>
        </w:rPr>
      </w:pPr>
      <w:r>
        <w:rPr>
          <w:rFonts w:hint="eastAsia" w:ascii="宋体" w:hAnsi="宋体" w:cs="宋体"/>
          <w:b/>
          <w:bCs/>
          <w:sz w:val="24"/>
        </w:rPr>
        <w:t>七、本项目投标保证金</w:t>
      </w:r>
    </w:p>
    <w:p>
      <w:pPr>
        <w:pStyle w:val="37"/>
        <w:tabs>
          <w:tab w:val="left" w:pos="0"/>
          <w:tab w:val="left" w:pos="3165"/>
          <w:tab w:val="center" w:pos="4153"/>
        </w:tabs>
        <w:snapToGrid w:val="0"/>
        <w:spacing w:line="360" w:lineRule="auto"/>
        <w:ind w:firstLine="480" w:firstLineChars="200"/>
        <w:jc w:val="left"/>
        <w:rPr>
          <w:rStyle w:val="47"/>
          <w:rFonts w:ascii="宋体" w:hAnsi="宋体" w:eastAsia="宋体" w:cs="宋体"/>
          <w:sz w:val="24"/>
          <w:szCs w:val="24"/>
        </w:rPr>
      </w:pPr>
      <w:r>
        <w:rPr>
          <w:rStyle w:val="47"/>
          <w:rFonts w:hint="eastAsia" w:ascii="宋体" w:hAnsi="宋体" w:eastAsia="宋体" w:cs="宋体"/>
          <w:sz w:val="24"/>
          <w:szCs w:val="24"/>
        </w:rPr>
        <w:t>根据江苏省财政厅及盐财购〔2020〕11号文件关于取消政府采购投标保证金的规定，本采购项目投标人无需在投标截止时间之前交纳（提交）投标保证金。</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八、对本次招标提出询问，请按以下方式联系。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1.采购人信息</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名称：盐城工业职业技术学院</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地址：盐城市解放南路285号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联系人：赵老师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联系电话：0515-88588707</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2.采购代理机构信息</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名称：江苏伟业项目管理有限公司</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地址：盐城市华邦国际东厦16楼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联系人：陈先生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w:t>
      </w:r>
      <w:r>
        <w:rPr>
          <w:rFonts w:hint="eastAsia" w:ascii="宋体" w:hAnsi="宋体" w:cs="宋体"/>
          <w:bCs/>
          <w:sz w:val="24"/>
        </w:rPr>
        <w:t>13305104722</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3.项目联系方式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项目联系人：</w:t>
      </w:r>
      <w:r>
        <w:rPr>
          <w:rStyle w:val="47"/>
          <w:rFonts w:hint="eastAsia" w:ascii="宋体" w:hAnsi="宋体" w:cs="宋体"/>
          <w:sz w:val="24"/>
          <w:szCs w:val="24"/>
          <w:lang w:val="en-US" w:eastAsia="zh-CN"/>
        </w:rPr>
        <w:t>蔡</w:t>
      </w:r>
      <w:r>
        <w:rPr>
          <w:rStyle w:val="47"/>
          <w:rFonts w:hint="eastAsia" w:ascii="宋体" w:hAnsi="宋体" w:cs="宋体"/>
          <w:sz w:val="24"/>
          <w:szCs w:val="24"/>
        </w:rPr>
        <w:t>老师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w:t>
      </w:r>
      <w:r>
        <w:rPr>
          <w:rStyle w:val="47"/>
          <w:rFonts w:hint="eastAsia" w:ascii="宋体" w:hAnsi="宋体" w:cs="宋体"/>
          <w:sz w:val="24"/>
          <w:szCs w:val="24"/>
          <w:lang w:val="en-US" w:eastAsia="zh-CN"/>
        </w:rPr>
        <w:t>19516315058</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39"/>
        <w:rPr>
          <w:rStyle w:val="47"/>
          <w:rFonts w:ascii="宋体" w:hAnsi="宋体" w:cs="宋体"/>
        </w:rPr>
      </w:pPr>
      <w:bookmarkStart w:id="1" w:name="_Toc21663"/>
    </w:p>
    <w:p>
      <w:pPr>
        <w:pStyle w:val="38"/>
        <w:spacing w:before="0" w:after="0" w:line="240" w:lineRule="auto"/>
        <w:outlineLvl w:val="0"/>
        <w:rPr>
          <w:rStyle w:val="47"/>
          <w:rFonts w:ascii="宋体" w:hAnsi="宋体" w:eastAsia="宋体" w:cs="宋体"/>
          <w:b w:val="0"/>
          <w:bCs w:val="0"/>
        </w:rPr>
      </w:pPr>
      <w:r>
        <w:rPr>
          <w:rStyle w:val="47"/>
          <w:rFonts w:hint="eastAsia" w:ascii="宋体" w:hAnsi="宋体" w:eastAsia="宋体" w:cs="宋体"/>
        </w:rPr>
        <w:t>第二章  投标人须知</w:t>
      </w:r>
      <w:bookmarkEnd w:id="1"/>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一、总则</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1、招标方式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2、合格的投标人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2.1满足招标公告中供应商的资格要求的规定。</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 满足本文件实质性条款的规定。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3、适用法律</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4、投标费用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5、招标文件的约束力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5.1</w:t>
      </w:r>
      <w:r>
        <w:rPr>
          <w:rStyle w:val="47"/>
          <w:rFonts w:hint="eastAsia" w:ascii="宋体" w:hAnsi="宋体" w:cs="宋体"/>
          <w:sz w:val="24"/>
          <w:szCs w:val="24"/>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6、招标文件的解释</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6.1 本招标文件由采购人或采购代理机构负责解释。</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二、招标文件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7、招标文件构成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7.1</w:t>
      </w:r>
      <w:r>
        <w:rPr>
          <w:rStyle w:val="47"/>
          <w:rFonts w:hint="eastAsia" w:ascii="宋体" w:hAnsi="宋体" w:cs="宋体"/>
          <w:sz w:val="24"/>
          <w:szCs w:val="24"/>
        </w:rPr>
        <w:t xml:space="preserve"> 招标文件有以下部分组成：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（1）招标公告</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（2）投标人须知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（3）合同条款及格式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（4）项目需求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（5）评标方法与评标标准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（6）投标文件格式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7.2</w:t>
      </w:r>
      <w:r>
        <w:rPr>
          <w:rStyle w:val="47"/>
          <w:rFonts w:hint="eastAsia" w:ascii="宋体" w:hAnsi="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8、招标文件的询问</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8.1</w:t>
      </w:r>
      <w:r>
        <w:rPr>
          <w:rStyle w:val="47"/>
          <w:rFonts w:hint="eastAsia" w:ascii="宋体" w:hAnsi="宋体" w:cs="宋体"/>
          <w:sz w:val="24"/>
          <w:szCs w:val="24"/>
        </w:rPr>
        <w:t xml:space="preserve"> 任何要求对招标文件进行询问的投标人，应在投标截止日期</w:t>
      </w:r>
      <w:r>
        <w:rPr>
          <w:rStyle w:val="47"/>
          <w:rFonts w:hint="eastAsia" w:ascii="宋体" w:hAnsi="宋体" w:cs="宋体"/>
          <w:b/>
          <w:sz w:val="24"/>
          <w:szCs w:val="24"/>
        </w:rPr>
        <w:t>十日</w:t>
      </w:r>
      <w:r>
        <w:rPr>
          <w:rStyle w:val="47"/>
          <w:rFonts w:hint="eastAsia" w:ascii="宋体" w:hAnsi="宋体" w:cs="宋体"/>
          <w:sz w:val="24"/>
          <w:szCs w:val="24"/>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9、招标文件的修改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9.1</w:t>
      </w:r>
      <w:r>
        <w:rPr>
          <w:rStyle w:val="47"/>
          <w:rFonts w:hint="eastAsia" w:ascii="宋体" w:hAnsi="宋体" w:cs="宋体"/>
          <w:sz w:val="24"/>
          <w:szCs w:val="24"/>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9.2</w:t>
      </w:r>
      <w:r>
        <w:rPr>
          <w:rStyle w:val="47"/>
          <w:rFonts w:hint="eastAsia" w:ascii="宋体" w:hAnsi="宋体" w:cs="宋体"/>
          <w:sz w:val="24"/>
          <w:szCs w:val="24"/>
        </w:rPr>
        <w:t>采购人或采购代理机构有权依法推迟投标截止日期和开标日期。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9.3</w:t>
      </w:r>
      <w:r>
        <w:rPr>
          <w:rStyle w:val="47"/>
          <w:rFonts w:hint="eastAsia" w:ascii="宋体" w:hAnsi="宋体" w:cs="宋体"/>
          <w:sz w:val="24"/>
          <w:szCs w:val="24"/>
        </w:rPr>
        <w:t>招标文件的修改将在“盐城工业职业技术学院招标采购网”公布，补充文件将作为招标文件的组成部分，并对投标人具有约束力。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三、投标文件的编制</w:t>
      </w:r>
    </w:p>
    <w:p>
      <w:pPr>
        <w:pStyle w:val="41"/>
        <w:snapToGrid w:val="0"/>
        <w:spacing w:before="0" w:after="0" w:line="360" w:lineRule="auto"/>
        <w:ind w:firstLine="480" w:firstLineChars="200"/>
        <w:rPr>
          <w:rStyle w:val="47"/>
          <w:rFonts w:ascii="宋体" w:hAnsi="宋体" w:cs="宋体"/>
          <w:bCs/>
          <w:sz w:val="24"/>
          <w:szCs w:val="24"/>
        </w:rPr>
      </w:pPr>
      <w:r>
        <w:rPr>
          <w:rStyle w:val="47"/>
          <w:rFonts w:hint="eastAsia" w:ascii="宋体" w:hAnsi="宋体" w:cs="宋体"/>
          <w:b w:val="0"/>
          <w:bCs/>
          <w:sz w:val="24"/>
          <w:szCs w:val="24"/>
        </w:rPr>
        <w:t>10、投标文件的语言及度量衡单位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10.1</w:t>
      </w:r>
      <w:r>
        <w:rPr>
          <w:rStyle w:val="47"/>
          <w:rFonts w:hint="eastAsia" w:ascii="宋体" w:hAnsi="宋体" w:cs="宋体"/>
          <w:sz w:val="24"/>
          <w:szCs w:val="24"/>
        </w:rPr>
        <w:t xml:space="preserve"> 投标人提交的投标文件以及投标人与采购人或采购代理机构就有关投标的所有来往通知、函件和文件均应使用</w:t>
      </w:r>
      <w:r>
        <w:rPr>
          <w:rStyle w:val="47"/>
          <w:rFonts w:hint="eastAsia" w:ascii="宋体" w:hAnsi="宋体" w:cs="宋体"/>
          <w:b/>
          <w:bCs/>
          <w:sz w:val="24"/>
          <w:szCs w:val="24"/>
        </w:rPr>
        <w:t>简体中文</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10.2</w:t>
      </w:r>
      <w:r>
        <w:rPr>
          <w:rStyle w:val="47"/>
          <w:rFonts w:hint="eastAsia" w:ascii="宋体" w:hAnsi="宋体" w:cs="宋体"/>
          <w:sz w:val="24"/>
          <w:szCs w:val="24"/>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7"/>
          <w:rFonts w:hint="eastAsia" w:ascii="宋体" w:hAnsi="宋体" w:cs="宋体"/>
          <w:bCs/>
          <w:sz w:val="24"/>
          <w:szCs w:val="24"/>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12、证明投标人资格及符合招标文件规定的文件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12.1投标人应按要求提交资格证明文件及符合招标文件规定的文件。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12.2投标人应提交证明其有资格参加投标和中标后有能力独立履行合同的文件。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12.5证明投标人所提供货物及服务与招标文件的要求相一致的文件可以是手册、图纸、文字资料和数据</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13.2</w:t>
      </w:r>
      <w:r>
        <w:rPr>
          <w:rStyle w:val="47"/>
          <w:rFonts w:hint="eastAsia" w:ascii="宋体" w:hAnsi="宋体" w:cs="宋体"/>
          <w:sz w:val="24"/>
          <w:szCs w:val="24"/>
        </w:rPr>
        <w:t xml:space="preserve"> 标的物</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采购人需求的货物供应、安装，调试及有关技术服务等</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13.3有关费用处理</w:t>
      </w:r>
    </w:p>
    <w:p>
      <w:pPr>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招标报价采用总承包方式，</w:t>
      </w:r>
      <w:r>
        <w:rPr>
          <w:rStyle w:val="47"/>
          <w:rFonts w:ascii="宋体" w:hAnsi="宋体"/>
          <w:sz w:val="24"/>
          <w:szCs w:val="24"/>
        </w:rPr>
        <w:t>包括</w:t>
      </w:r>
      <w:r>
        <w:rPr>
          <w:rStyle w:val="47"/>
          <w:rFonts w:ascii="宋体" w:hAnsi="宋体" w:cs="宋体"/>
          <w:bCs/>
          <w:sz w:val="24"/>
          <w:szCs w:val="24"/>
        </w:rPr>
        <w:t>买方需求的货物价格</w:t>
      </w:r>
      <w:r>
        <w:rPr>
          <w:rStyle w:val="47"/>
          <w:rFonts w:ascii="宋体" w:hAnsi="宋体"/>
          <w:sz w:val="24"/>
          <w:szCs w:val="24"/>
        </w:rPr>
        <w:t>、</w:t>
      </w:r>
      <w:r>
        <w:rPr>
          <w:rStyle w:val="47"/>
          <w:rFonts w:ascii="宋体" w:hAnsi="宋体" w:cs="宋体"/>
          <w:bCs/>
          <w:sz w:val="24"/>
          <w:szCs w:val="24"/>
        </w:rPr>
        <w:t>质量保证费用、培训费用及售后服务费用，项目在指定地点、环境交付、验收所需费用和所有</w:t>
      </w:r>
      <w:r>
        <w:rPr>
          <w:rStyle w:val="47"/>
          <w:rFonts w:ascii="宋体" w:hAnsi="宋体"/>
          <w:sz w:val="24"/>
          <w:szCs w:val="24"/>
        </w:rPr>
        <w:t>相关税金费用</w:t>
      </w:r>
      <w:r>
        <w:rPr>
          <w:rStyle w:val="47"/>
          <w:rFonts w:ascii="宋体" w:hAnsi="宋体" w:cs="宋体"/>
          <w:bCs/>
          <w:sz w:val="24"/>
          <w:szCs w:val="24"/>
        </w:rPr>
        <w:t>及为完成整个项目所产生的其它所有费用。</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13.4</w:t>
      </w:r>
      <w:r>
        <w:rPr>
          <w:rStyle w:val="47"/>
          <w:rFonts w:hint="eastAsia" w:ascii="宋体" w:hAnsi="宋体" w:cs="宋体"/>
          <w:bCs/>
          <w:sz w:val="24"/>
          <w:szCs w:val="24"/>
        </w:rPr>
        <w:t>其它费用处理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招标文件未列明，而投标人认为必需的费用也需列入报价。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13.5</w:t>
      </w:r>
      <w:r>
        <w:rPr>
          <w:rStyle w:val="47"/>
          <w:rFonts w:hint="eastAsia" w:ascii="宋体" w:hAnsi="宋体" w:cs="宋体"/>
          <w:bCs/>
          <w:sz w:val="24"/>
          <w:szCs w:val="24"/>
        </w:rPr>
        <w:t>投标货币</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投标文件中的货物</w:t>
      </w:r>
      <w:r>
        <w:rPr>
          <w:rStyle w:val="47"/>
          <w:rFonts w:hint="eastAsia" w:ascii="宋体" w:hAnsi="宋体" w:cs="宋体"/>
          <w:sz w:val="24"/>
          <w:szCs w:val="24"/>
        </w:rPr>
        <w:t>及服务</w:t>
      </w:r>
      <w:r>
        <w:rPr>
          <w:rStyle w:val="47"/>
          <w:rFonts w:hint="eastAsia" w:ascii="宋体" w:hAnsi="宋体" w:cs="宋体"/>
          <w:bCs/>
          <w:sz w:val="24"/>
          <w:szCs w:val="24"/>
        </w:rPr>
        <w:t>单价和总价无特殊规定的采用人民币报价，以元为单位标注。</w:t>
      </w:r>
      <w:r>
        <w:rPr>
          <w:rStyle w:val="47"/>
          <w:rFonts w:hint="eastAsia" w:ascii="宋体" w:hAnsi="宋体" w:cs="宋体"/>
          <w:sz w:val="24"/>
          <w:szCs w:val="24"/>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7"/>
          <w:rFonts w:hint="eastAsia" w:ascii="宋体" w:hAnsi="宋体" w:cs="宋体"/>
          <w:sz w:val="24"/>
          <w:szCs w:val="24"/>
        </w:rPr>
        <w:t>明</w:t>
      </w:r>
    </w:p>
    <w:p>
      <w:pPr>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lang w:val="zh-CN"/>
        </w:rPr>
        <w:t>14.1</w:t>
      </w:r>
      <w:r>
        <w:rPr>
          <w:rStyle w:val="47"/>
          <w:rFonts w:hint="eastAsia" w:ascii="宋体" w:hAnsi="宋体" w:cs="宋体"/>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14.2 提供参加本项目类似案例简介；</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14.3 培训计划；</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14.5 投标人认为需要的其他技术文件或说明。</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w:t>
      </w:r>
      <w:r>
        <w:rPr>
          <w:rStyle w:val="47"/>
          <w:rFonts w:hint="eastAsia" w:ascii="宋体" w:hAnsi="宋体" w:cs="宋体"/>
          <w:sz w:val="24"/>
          <w:szCs w:val="24"/>
          <w:lang w:val="zh-CN"/>
        </w:rPr>
        <w:t>5、服务承诺及售后服务机构、人员的情况介绍</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15.1</w:t>
      </w:r>
      <w:r>
        <w:rPr>
          <w:rStyle w:val="47"/>
          <w:rFonts w:hint="eastAsia" w:ascii="宋体" w:hAnsi="宋体" w:cs="宋体"/>
          <w:sz w:val="24"/>
          <w:szCs w:val="24"/>
        </w:rPr>
        <w:t>投标人的服务承诺应按不低于招标文件中商务要求的标准。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15.2</w:t>
      </w:r>
      <w:r>
        <w:rPr>
          <w:rStyle w:val="47"/>
          <w:rFonts w:hint="eastAsia" w:ascii="宋体" w:hAnsi="宋体" w:cs="宋体"/>
          <w:sz w:val="24"/>
          <w:szCs w:val="24"/>
        </w:rPr>
        <w:t>提供投标人有关售后服务的管理制度、售后服务机构的分布情况、售后服务人员的数量、素质、技术水平及售后服务的反应能力。</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16、投标函和开标一览表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16.1</w:t>
      </w:r>
      <w:r>
        <w:rPr>
          <w:rStyle w:val="47"/>
          <w:rFonts w:hint="eastAsia" w:ascii="宋体" w:hAnsi="宋体" w:cs="宋体"/>
          <w:sz w:val="24"/>
          <w:szCs w:val="24"/>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16.2开标一览表中的价格应与投标文件中投标配置与分项报价表中的价格一致，如不一致，</w:t>
      </w:r>
      <w:r>
        <w:rPr>
          <w:rStyle w:val="47"/>
          <w:rFonts w:hint="eastAsia" w:ascii="宋体" w:hAnsi="宋体" w:cs="宋体"/>
          <w:sz w:val="24"/>
          <w:szCs w:val="24"/>
        </w:rPr>
        <w:t>不作为无效投标处理</w:t>
      </w:r>
      <w:r>
        <w:rPr>
          <w:rStyle w:val="47"/>
          <w:rFonts w:hint="eastAsia" w:ascii="宋体" w:hAnsi="宋体" w:cs="宋体"/>
          <w:bCs/>
          <w:sz w:val="24"/>
          <w:szCs w:val="24"/>
        </w:rPr>
        <w:t>，但评标时按开标一览表中价格为准</w:t>
      </w:r>
      <w:r>
        <w:rPr>
          <w:rStyle w:val="47"/>
          <w:rFonts w:hint="eastAsia" w:ascii="宋体" w:hAnsi="宋体" w:cs="宋体"/>
          <w:b/>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17、投标有效期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17.1</w:t>
      </w:r>
      <w:r>
        <w:rPr>
          <w:rStyle w:val="47"/>
          <w:rFonts w:hint="eastAsia" w:ascii="宋体" w:hAnsi="宋体" w:cs="宋体"/>
          <w:bCs/>
          <w:sz w:val="24"/>
          <w:szCs w:val="24"/>
        </w:rPr>
        <w:t xml:space="preserve"> 投标有效期为采购人或采购代理机构规定的开标之日后</w:t>
      </w:r>
      <w:r>
        <w:rPr>
          <w:rStyle w:val="47"/>
          <w:rFonts w:hint="eastAsia" w:ascii="宋体" w:hAnsi="宋体" w:cs="宋体"/>
          <w:b/>
          <w:sz w:val="24"/>
          <w:szCs w:val="24"/>
          <w:u w:val="single" w:color="000000"/>
        </w:rPr>
        <w:t>六十（60）天</w:t>
      </w:r>
      <w:r>
        <w:rPr>
          <w:rStyle w:val="47"/>
          <w:rFonts w:hint="eastAsia" w:ascii="宋体" w:hAnsi="宋体" w:cs="宋体"/>
          <w:bCs/>
          <w:sz w:val="24"/>
          <w:szCs w:val="24"/>
        </w:rPr>
        <w:t>。投标有效期比规定短的将被视为非响应性投标而予以拒绝。</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17.2</w:t>
      </w:r>
      <w:r>
        <w:rPr>
          <w:rStyle w:val="47"/>
          <w:rFonts w:hint="eastAsia" w:ascii="宋体" w:hAnsi="宋体" w:cs="宋体"/>
          <w:bCs/>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sz w:val="24"/>
          <w:szCs w:val="24"/>
        </w:rPr>
        <w:t>。</w:t>
      </w:r>
      <w:r>
        <w:rPr>
          <w:rStyle w:val="47"/>
          <w:rFonts w:hint="eastAsia" w:ascii="宋体" w:hAnsi="宋体" w:cs="宋体"/>
          <w:bCs/>
          <w:sz w:val="24"/>
          <w:szCs w:val="24"/>
        </w:rPr>
        <w:t>同意延长投标有效期的投标人既不能要求也不允许修改其投标文件。</w:t>
      </w:r>
      <w:r>
        <w:rPr>
          <w:rStyle w:val="47"/>
          <w:rFonts w:hint="eastAsia" w:ascii="宋体" w:hAnsi="宋体" w:cs="宋体"/>
          <w:sz w:val="24"/>
          <w:szCs w:val="24"/>
        </w:rPr>
        <w:t>受投标有效期约束的所有权利与义务均延长至新的有效期</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18、投标文件份数和签署</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18.1</w:t>
      </w:r>
      <w:r>
        <w:rPr>
          <w:rStyle w:val="47"/>
          <w:rFonts w:hint="eastAsia" w:ascii="宋体" w:hAnsi="宋体" w:cs="宋体"/>
          <w:bCs/>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18.2投标文件正本中，</w:t>
      </w:r>
      <w:r>
        <w:rPr>
          <w:rStyle w:val="47"/>
          <w:rFonts w:hint="eastAsia" w:ascii="宋体" w:hAnsi="宋体" w:cs="宋体"/>
          <w:bCs/>
          <w:sz w:val="24"/>
          <w:szCs w:val="24"/>
        </w:rPr>
        <w:t>招标文件要求必须提供原件的按照要求提供，文</w:t>
      </w:r>
      <w:r>
        <w:rPr>
          <w:rStyle w:val="47"/>
          <w:rFonts w:hint="eastAsia" w:ascii="宋体" w:hAnsi="宋体" w:cs="宋体"/>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18.3</w:t>
      </w:r>
      <w:r>
        <w:rPr>
          <w:rStyle w:val="47"/>
          <w:rFonts w:hint="eastAsia" w:ascii="宋体" w:hAnsi="宋体" w:cs="宋体"/>
          <w:bCs/>
          <w:sz w:val="24"/>
          <w:szCs w:val="24"/>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四、投标文件的递交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19、投标文件的密封和标记</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19.1</w:t>
      </w:r>
      <w:r>
        <w:rPr>
          <w:rStyle w:val="47"/>
          <w:rFonts w:hint="eastAsia" w:ascii="宋体" w:hAnsi="宋体" w:cs="宋体"/>
          <w:bCs/>
          <w:sz w:val="24"/>
          <w:szCs w:val="24"/>
        </w:rPr>
        <w:t>投标人应将投标文件正本和所有副本密封，不论投标人中标与否，投标文件均不退回。</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w:t>
      </w:r>
      <w:r>
        <w:rPr>
          <w:rStyle w:val="47"/>
          <w:rFonts w:hint="eastAsia" w:ascii="宋体" w:hAnsi="宋体" w:cs="宋体"/>
          <w:bCs/>
          <w:sz w:val="24"/>
          <w:szCs w:val="24"/>
        </w:rPr>
        <w:t xml:space="preserve"> 密封的投标文件应：</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19.2.1 注明投标人名称，如因标注不清而产生的后果由投标人自负。按招标公告中注明的地址送达；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19.2.2  注明投标项目名称、标书编号及包号。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19.2.3</w:t>
      </w:r>
      <w:r>
        <w:rPr>
          <w:rStyle w:val="47"/>
          <w:rFonts w:hint="eastAsia" w:ascii="宋体" w:hAnsi="宋体" w:cs="宋体"/>
          <w:bCs/>
          <w:sz w:val="24"/>
          <w:szCs w:val="24"/>
        </w:rPr>
        <w:t xml:space="preserve">  未按要求密封和加写标记，采购人和采购代理机构对误投或过早启封概不负责。对由此造成提前开封的投标文件，采购人和采购代理机构将予以拒绝。</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20、投标截止日期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20.1</w:t>
      </w:r>
      <w:r>
        <w:rPr>
          <w:rStyle w:val="47"/>
          <w:rFonts w:hint="eastAsia" w:ascii="宋体" w:hAnsi="宋体" w:cs="宋体"/>
          <w:bCs/>
          <w:sz w:val="24"/>
          <w:szCs w:val="24"/>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20.2</w:t>
      </w:r>
      <w:r>
        <w:rPr>
          <w:rStyle w:val="47"/>
          <w:rFonts w:hint="eastAsia" w:ascii="宋体" w:hAnsi="宋体" w:cs="宋体"/>
          <w:bCs/>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21、迟交的投标文件</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21.1</w:t>
      </w:r>
      <w:r>
        <w:rPr>
          <w:rStyle w:val="47"/>
          <w:rFonts w:hint="eastAsia" w:ascii="宋体" w:hAnsi="宋体" w:cs="宋体"/>
          <w:bCs/>
          <w:sz w:val="24"/>
          <w:szCs w:val="24"/>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22、投标文件的修改和撤回</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22.1</w:t>
      </w:r>
      <w:r>
        <w:rPr>
          <w:rStyle w:val="47"/>
          <w:rFonts w:hint="eastAsia" w:ascii="宋体" w:hAnsi="宋体" w:cs="宋体"/>
          <w:bCs/>
          <w:sz w:val="24"/>
          <w:szCs w:val="24"/>
        </w:rPr>
        <w:t xml:space="preserve"> 投标人在递交投标文件后，可以修改或撤回其投标文件，但这种修改和撤回，必须在规定的投标截止时间前，以书面形式</w:t>
      </w:r>
      <w:r>
        <w:rPr>
          <w:rStyle w:val="47"/>
          <w:rFonts w:hint="eastAsia" w:ascii="宋体" w:hAnsi="宋体" w:cs="宋体"/>
          <w:sz w:val="24"/>
          <w:szCs w:val="24"/>
        </w:rPr>
        <w:t>通知采购人或采购代理机构，修改或撤回其投标文件。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22.2</w:t>
      </w:r>
      <w:r>
        <w:rPr>
          <w:rStyle w:val="47"/>
          <w:rFonts w:hint="eastAsia" w:ascii="宋体" w:hAnsi="宋体" w:cs="宋体"/>
          <w:bCs/>
          <w:sz w:val="24"/>
          <w:szCs w:val="24"/>
        </w:rPr>
        <w:t xml:space="preserve"> 投标人的修改或撤回文件应按规定进行编制、密封、标记和发送，并应在封套上加注“修改”或“撤回”字样。</w:t>
      </w:r>
      <w:r>
        <w:rPr>
          <w:rStyle w:val="47"/>
          <w:rFonts w:hint="eastAsia" w:ascii="宋体" w:hAnsi="宋体" w:cs="宋体"/>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22.3</w:t>
      </w:r>
      <w:r>
        <w:rPr>
          <w:rStyle w:val="47"/>
          <w:rFonts w:hint="eastAsia" w:ascii="宋体" w:hAnsi="宋体" w:cs="宋体"/>
          <w:bCs/>
          <w:sz w:val="24"/>
          <w:szCs w:val="24"/>
        </w:rPr>
        <w:t xml:space="preserve"> 在投标截止时间之后，投标人不得对其投标文件作任何修改。</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22.4</w:t>
      </w:r>
      <w:r>
        <w:rPr>
          <w:rStyle w:val="47"/>
          <w:rFonts w:hint="eastAsia" w:ascii="宋体" w:hAnsi="宋体" w:cs="宋体"/>
          <w:bCs/>
          <w:sz w:val="24"/>
          <w:szCs w:val="24"/>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五、开标与评标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23、开标</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23.1</w:t>
      </w:r>
      <w:r>
        <w:rPr>
          <w:rStyle w:val="47"/>
          <w:rFonts w:hint="eastAsia" w:ascii="宋体" w:hAnsi="宋体" w:cs="宋体"/>
          <w:bCs/>
          <w:sz w:val="24"/>
          <w:szCs w:val="24"/>
        </w:rPr>
        <w:t xml:space="preserve"> 采购人和采购代理机构将在招标公告中规定的时间和地点组织公开开标</w:t>
      </w:r>
      <w:r>
        <w:rPr>
          <w:rStyle w:val="47"/>
          <w:rFonts w:hint="eastAsia" w:ascii="宋体" w:hAnsi="宋体" w:cs="宋体"/>
          <w:sz w:val="24"/>
          <w:szCs w:val="24"/>
        </w:rPr>
        <w:t>。投标人应委派携带有效证件的代表准时参加，参加开标的代表需签名以证明其出席。</w:t>
      </w:r>
    </w:p>
    <w:p>
      <w:pPr>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23.3</w:t>
      </w:r>
      <w:r>
        <w:rPr>
          <w:rStyle w:val="47"/>
          <w:rFonts w:hint="eastAsia" w:ascii="宋体" w:hAnsi="宋体" w:cs="宋体"/>
          <w:bCs/>
          <w:sz w:val="24"/>
          <w:szCs w:val="24"/>
        </w:rPr>
        <w:t>按照规定同意撤回的投标将不予开封。</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23.6 投标人在报价时不允许采用选择性报价，否则将被视为无效投标。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24、资格审查</w:t>
      </w:r>
    </w:p>
    <w:p>
      <w:pPr>
        <w:adjustRightInd w:val="0"/>
        <w:snapToGrid w:val="0"/>
        <w:spacing w:line="360" w:lineRule="auto"/>
        <w:ind w:firstLine="480" w:firstLineChars="200"/>
        <w:jc w:val="left"/>
        <w:rPr>
          <w:rStyle w:val="47"/>
          <w:rFonts w:ascii="宋体" w:hAnsi="宋体" w:cs="宋体"/>
          <w:bCs/>
          <w:sz w:val="24"/>
          <w:szCs w:val="24"/>
        </w:rPr>
      </w:pPr>
      <w:r>
        <w:rPr>
          <w:rStyle w:val="47"/>
          <w:rFonts w:hint="eastAsia" w:ascii="宋体" w:hAnsi="宋体" w:cs="宋体"/>
          <w:sz w:val="24"/>
          <w:szCs w:val="24"/>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25、评标委员会</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25.1资格审查通过后，采购人将组织评标委员会（以下简称评委会）进行评标。</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25.2 评委会由采购人代表和有关技术、经济等方面的专家组成，且人员构成符合政府采购有关规定。</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25.3评委会独立工作，负责评审所有投标文件并确定中标候选人。</w:t>
      </w:r>
    </w:p>
    <w:p>
      <w:pPr>
        <w:pStyle w:val="41"/>
        <w:widowControl w:val="0"/>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26、评标过程的保密与公正</w:t>
      </w:r>
    </w:p>
    <w:p>
      <w:pPr>
        <w:widowControl w:val="0"/>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26.1</w:t>
      </w:r>
      <w:r>
        <w:rPr>
          <w:rStyle w:val="47"/>
          <w:rFonts w:hint="eastAsia" w:ascii="宋体" w:hAnsi="宋体" w:cs="宋体"/>
          <w:bCs/>
          <w:sz w:val="24"/>
          <w:szCs w:val="24"/>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26.2在评标过程中，投标人不得以任何行为影响评标过程，否则其投标文件将被作为无效投标文件。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27、投标的澄清</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28、对投标文件的评审</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28.1</w:t>
      </w:r>
      <w:r>
        <w:rPr>
          <w:rStyle w:val="47"/>
          <w:rFonts w:hint="eastAsia" w:ascii="宋体" w:hAnsi="宋体" w:cs="宋体"/>
          <w:bCs/>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sz w:val="24"/>
          <w:szCs w:val="24"/>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28.3</w:t>
      </w:r>
      <w:r>
        <w:rPr>
          <w:rStyle w:val="47"/>
          <w:rFonts w:hint="eastAsia" w:ascii="宋体" w:hAnsi="宋体" w:cs="宋体"/>
          <w:bCs/>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28.4</w:t>
      </w:r>
      <w:r>
        <w:rPr>
          <w:rStyle w:val="47"/>
          <w:rFonts w:hint="eastAsia" w:ascii="宋体" w:hAnsi="宋体" w:cs="宋体"/>
          <w:bCs/>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（2）大写金额和小写金额不一致的，以大写金额为准。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（4）总价金额与按单价汇总金额不一致的，以单价金额计算结果为准。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同时出现两种以上错误的，按照前款规定的顺序修正。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28.5</w:t>
      </w:r>
      <w:r>
        <w:rPr>
          <w:rStyle w:val="47"/>
          <w:rFonts w:hint="eastAsia" w:ascii="宋体" w:hAnsi="宋体" w:cs="宋体"/>
          <w:bCs/>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28.6</w:t>
      </w:r>
      <w:r>
        <w:rPr>
          <w:rStyle w:val="47"/>
          <w:rFonts w:hint="eastAsia" w:ascii="宋体" w:hAnsi="宋体" w:cs="宋体"/>
          <w:bCs/>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28.7</w:t>
      </w:r>
      <w:r>
        <w:rPr>
          <w:rStyle w:val="47"/>
          <w:rFonts w:hint="eastAsia" w:ascii="宋体" w:hAnsi="宋体" w:cs="宋体"/>
          <w:b/>
          <w:sz w:val="24"/>
          <w:szCs w:val="24"/>
        </w:rPr>
        <w:t>采用最低评标价法的采购项目，</w:t>
      </w:r>
      <w:r>
        <w:rPr>
          <w:rStyle w:val="47"/>
          <w:rFonts w:hint="eastAsia" w:ascii="宋体" w:hAnsi="宋体" w:cs="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使用综合评分法的采购项目，</w:t>
      </w:r>
      <w:r>
        <w:rPr>
          <w:rStyle w:val="47"/>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非单一产品采购项目，</w:t>
      </w:r>
      <w:r>
        <w:rPr>
          <w:rStyle w:val="47"/>
          <w:rFonts w:hint="eastAsia" w:ascii="宋体" w:hAnsi="宋体" w:cs="宋体"/>
          <w:sz w:val="24"/>
          <w:szCs w:val="24"/>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29、无效投标条款和废标条款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29.1无效投标条款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29.1.1未按要求交纳投标保证金的（本项目无要求）；</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29.1.2未按照招标文件规定要求密封、签署、盖章的；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29.1.3投标人在报价时采用选择性报价；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29.1.4投标人不具备招标文件中规定资格要求的；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29.1.5投标人的报价超过了采购预算或最高限价的；</w:t>
      </w:r>
    </w:p>
    <w:p>
      <w:pPr>
        <w:snapToGrid w:val="0"/>
        <w:spacing w:line="360" w:lineRule="auto"/>
        <w:ind w:firstLine="480" w:firstLineChars="200"/>
        <w:rPr>
          <w:rStyle w:val="47"/>
          <w:rFonts w:ascii="宋体" w:hAnsi="宋体" w:cs="宋体"/>
          <w:bCs/>
          <w:i/>
          <w:sz w:val="24"/>
          <w:szCs w:val="24"/>
          <w:u w:val="single" w:color="000000"/>
        </w:rPr>
      </w:pPr>
      <w:r>
        <w:rPr>
          <w:rStyle w:val="47"/>
          <w:rFonts w:hint="eastAsia" w:ascii="宋体" w:hAnsi="宋体" w:cs="宋体"/>
          <w:bCs/>
          <w:sz w:val="24"/>
          <w:szCs w:val="24"/>
        </w:rPr>
        <w:t>29.1.6未通过符合性检查的；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29.1.7不符合招标文件中规定的其他实质性要求和条件的；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29.1.8 投标人串通投标；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29.1.9  投标文件含有采购人不能接受的附加条件的。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29.1.11其他法律、法规及本招标文件规定的属无效投标的情形。</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 xml:space="preserve">29.2废标条款：                                                                                                                                                                                                                                                                                                                                                                                                                                                                                                                                                                                                                                                                                                                                                                                                                                                                                                                                                                                                                                                                                                                                                                                                                                                                                                                                                                                                                                                                         </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29.2.2出现影响采购公正的违法、违规行为的；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29.2.3因重大变故，采购任务取消的；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29.2.4评标委员会认定招标文件存在歧义、 重大缺陷导致评审工作无法进行。</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 投标截止时间结束后参加投标的供应商不足三家的处理：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六、定标</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30、确定中标单位</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30.2 采购人应根据评委会推荐的中标候选人确定中标供应商。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30.3采购人</w:t>
      </w:r>
      <w:r>
        <w:rPr>
          <w:rStyle w:val="47"/>
          <w:rFonts w:hint="eastAsia" w:ascii="宋体" w:hAnsi="宋体" w:cs="宋体"/>
          <w:sz w:val="24"/>
          <w:szCs w:val="24"/>
        </w:rPr>
        <w:t>将在“盐城工业职业技术学院招标采购网”发布中标公告，公告期限为1个工作日。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.4.1提供虚假材料谋取中标的；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.4.2向采购人或采购代理机构行贿或者提供其他不正当利益的；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.4.3恶意竞争，投标总报价明显低于其自身合理成本且又无法提供证明的；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30.4.4属于本文件规定的无效条件，但在评标过程中又未被评委会发现的；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30.4.5与采购人或者其他供应商恶意串通的；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30.4.6采取不正当手段诋毁、排挤其他供应商的；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30.4.7不符合法律、法规的规定的。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30.5. </w:t>
      </w:r>
      <w:r>
        <w:rPr>
          <w:rStyle w:val="47"/>
          <w:rFonts w:hint="eastAsia" w:ascii="宋体" w:hAnsi="宋体" w:cs="宋体"/>
          <w:kern w:val="0"/>
          <w:sz w:val="24"/>
          <w:szCs w:val="24"/>
        </w:rPr>
        <w:t>有下列情形之一的，视为投标人串通投标，投标无效：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30.5.1不同投标人的投标文件由同一单位或者个人编制。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30.5.2不同投标人委托同一单位或者个人办理投标事宜。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30.5.3 不同投标人的投标文件载明的项目管理成员或者联系人员为同一人。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30.5.4不同投标人的投标文件异常一致或者投标报价呈规律性差异。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31、质疑处理</w:t>
      </w:r>
      <w:r>
        <w:rPr>
          <w:rStyle w:val="47"/>
          <w:rFonts w:hint="eastAsia" w:ascii="宋体" w:hAnsi="宋体" w:cs="宋体"/>
          <w:b w:val="0"/>
          <w:sz w:val="24"/>
          <w:szCs w:val="24"/>
        </w:rPr>
        <w:tab/>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31.1.1</w:t>
      </w:r>
      <w:r>
        <w:rPr>
          <w:rStyle w:val="47"/>
          <w:rFonts w:hint="eastAsia" w:ascii="宋体" w:hAnsi="宋体" w:cs="宋体"/>
          <w:kern w:val="0"/>
          <w:sz w:val="24"/>
          <w:szCs w:val="24"/>
        </w:rPr>
        <w:t>对可以质疑的招标文件提出质疑的，为收到招标文件之日或者招标文件公告期限届满之日；</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31.1.2</w:t>
      </w:r>
      <w:r>
        <w:rPr>
          <w:rStyle w:val="47"/>
          <w:rFonts w:hint="eastAsia" w:ascii="宋体" w:hAnsi="宋体" w:cs="宋体"/>
          <w:kern w:val="0"/>
          <w:sz w:val="24"/>
          <w:szCs w:val="24"/>
        </w:rPr>
        <w:t>对采购过程提出质疑的，为各采购程序环节结束之日；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31.1.3</w:t>
      </w:r>
      <w:r>
        <w:rPr>
          <w:rStyle w:val="47"/>
          <w:rFonts w:hint="eastAsia" w:ascii="宋体" w:hAnsi="宋体" w:cs="宋体"/>
          <w:kern w:val="0"/>
          <w:sz w:val="24"/>
          <w:szCs w:val="24"/>
        </w:rPr>
        <w:t>对中标结果提出质疑的，为中标结果公告期限届满之日。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7"/>
          <w:rFonts w:hint="eastAsia" w:ascii="宋体" w:hAnsi="宋体" w:cs="宋体"/>
          <w:b/>
          <w:bCs/>
          <w:sz w:val="24"/>
          <w:szCs w:val="24"/>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31.4质疑函应当包括下列内容：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31.4.1质疑投标人的名称、地址、邮编、联系人、联系电话；</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31.4.2具体的质疑事项及明确的请求；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31.4.3认为自己合法权益受到损害或可能受到损害的相关证据材料；</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31.4.4提起质疑的日期；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32、中标通知书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32.l中标结果确定后，采购人将向中标供应商发出中标通知书。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七、合同签订相关事项</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33. 签订合同</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33</w:t>
      </w:r>
      <w:r>
        <w:rPr>
          <w:rStyle w:val="47"/>
          <w:rFonts w:hint="eastAsia" w:ascii="宋体" w:hAnsi="宋体" w:cs="宋体"/>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34、货物和服务的追加、减少和添购。</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35、履约保证金</w:t>
      </w:r>
    </w:p>
    <w:p>
      <w:pPr>
        <w:tabs>
          <w:tab w:val="left" w:pos="900"/>
        </w:tabs>
        <w:snapToGrid w:val="0"/>
        <w:spacing w:line="360" w:lineRule="auto"/>
        <w:ind w:firstLine="480" w:firstLineChars="200"/>
        <w:rPr>
          <w:rStyle w:val="47"/>
          <w:rFonts w:ascii="宋体" w:hAnsi="宋体" w:cs="宋体"/>
          <w:b/>
          <w:sz w:val="44"/>
        </w:rPr>
      </w:pPr>
      <w:r>
        <w:rPr>
          <w:rStyle w:val="47"/>
          <w:rFonts w:hint="eastAsia" w:ascii="宋体" w:hAnsi="宋体" w:cs="宋体"/>
          <w:sz w:val="24"/>
          <w:szCs w:val="24"/>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
      <w:pPr>
        <w:pStyle w:val="37"/>
        <w:outlineLvl w:val="0"/>
        <w:rPr>
          <w:rStyle w:val="47"/>
          <w:rFonts w:ascii="宋体" w:hAnsi="宋体" w:eastAsia="宋体" w:cs="宋体"/>
          <w:b/>
          <w:sz w:val="44"/>
        </w:rPr>
      </w:pPr>
    </w:p>
    <w:p>
      <w:pPr>
        <w:pStyle w:val="37"/>
        <w:jc w:val="both"/>
        <w:outlineLvl w:val="0"/>
        <w:rPr>
          <w:rStyle w:val="47"/>
          <w:rFonts w:ascii="宋体" w:hAnsi="宋体" w:eastAsia="宋体" w:cs="宋体"/>
          <w:b/>
          <w:sz w:val="44"/>
        </w:rPr>
      </w:pPr>
    </w:p>
    <w:p>
      <w:pPr>
        <w:rPr>
          <w:rStyle w:val="47"/>
          <w:rFonts w:ascii="宋体" w:hAnsi="宋体" w:cs="宋体"/>
          <w:b/>
          <w:sz w:val="44"/>
        </w:rPr>
      </w:pPr>
    </w:p>
    <w:p>
      <w:pPr>
        <w:pStyle w:val="9"/>
        <w:rPr>
          <w:rStyle w:val="47"/>
          <w:rFonts w:ascii="宋体" w:hAnsi="宋体" w:cs="宋体"/>
          <w:b/>
          <w:sz w:val="44"/>
        </w:rPr>
      </w:pPr>
    </w:p>
    <w:p>
      <w:pPr>
        <w:rPr>
          <w:rStyle w:val="47"/>
          <w:rFonts w:ascii="宋体" w:hAnsi="宋体" w:cs="宋体"/>
          <w:b/>
          <w:sz w:val="44"/>
        </w:rPr>
      </w:pPr>
    </w:p>
    <w:p>
      <w:pPr>
        <w:pStyle w:val="9"/>
        <w:rPr>
          <w:rStyle w:val="47"/>
          <w:rFonts w:ascii="宋体" w:hAnsi="宋体" w:cs="宋体"/>
          <w:b/>
          <w:sz w:val="44"/>
        </w:rPr>
      </w:pPr>
    </w:p>
    <w:p>
      <w:pPr>
        <w:rPr>
          <w:rStyle w:val="47"/>
          <w:rFonts w:ascii="宋体" w:hAnsi="宋体" w:cs="宋体"/>
          <w:b/>
          <w:sz w:val="44"/>
        </w:rPr>
      </w:pPr>
    </w:p>
    <w:p>
      <w:pPr>
        <w:pStyle w:val="9"/>
        <w:rPr>
          <w:rStyle w:val="47"/>
          <w:rFonts w:ascii="宋体" w:hAnsi="宋体" w:cs="宋体"/>
          <w:b/>
          <w:sz w:val="44"/>
        </w:rPr>
      </w:pPr>
    </w:p>
    <w:p>
      <w:pPr>
        <w:rPr>
          <w:rStyle w:val="47"/>
          <w:rFonts w:ascii="宋体" w:hAnsi="宋体" w:cs="宋体"/>
          <w:b/>
          <w:sz w:val="44"/>
        </w:rPr>
      </w:pPr>
    </w:p>
    <w:p>
      <w:pPr>
        <w:pStyle w:val="9"/>
        <w:rPr>
          <w:rStyle w:val="47"/>
          <w:rFonts w:ascii="宋体" w:hAnsi="宋体" w:cs="宋体"/>
          <w:b/>
          <w:sz w:val="44"/>
        </w:rPr>
      </w:pPr>
    </w:p>
    <w:p>
      <w:pPr>
        <w:rPr>
          <w:rStyle w:val="47"/>
          <w:rFonts w:ascii="宋体" w:hAnsi="宋体" w:cs="宋体"/>
          <w:b/>
          <w:sz w:val="44"/>
        </w:rPr>
      </w:pPr>
    </w:p>
    <w:p>
      <w:pPr>
        <w:pStyle w:val="9"/>
        <w:rPr>
          <w:rStyle w:val="47"/>
          <w:rFonts w:ascii="宋体" w:hAnsi="宋体" w:cs="宋体"/>
          <w:b/>
          <w:sz w:val="44"/>
        </w:rPr>
      </w:pPr>
    </w:p>
    <w:p>
      <w:pPr>
        <w:rPr>
          <w:rStyle w:val="47"/>
          <w:rFonts w:ascii="宋体" w:hAnsi="宋体" w:cs="宋体"/>
          <w:b/>
          <w:sz w:val="44"/>
        </w:rPr>
      </w:pPr>
    </w:p>
    <w:p>
      <w:pPr>
        <w:pStyle w:val="9"/>
        <w:rPr>
          <w:rStyle w:val="47"/>
          <w:rFonts w:ascii="宋体" w:hAnsi="宋体" w:cs="宋体"/>
          <w:b/>
          <w:sz w:val="44"/>
        </w:rPr>
      </w:pPr>
    </w:p>
    <w:p>
      <w:pPr>
        <w:rPr>
          <w:rStyle w:val="47"/>
          <w:rFonts w:ascii="宋体" w:hAnsi="宋体" w:cs="宋体"/>
          <w:b/>
          <w:sz w:val="44"/>
        </w:rPr>
      </w:pPr>
    </w:p>
    <w:p>
      <w:pPr>
        <w:pStyle w:val="9"/>
        <w:rPr>
          <w:rStyle w:val="47"/>
          <w:rFonts w:ascii="宋体" w:hAnsi="宋体" w:cs="宋体"/>
          <w:b/>
          <w:sz w:val="44"/>
        </w:rPr>
      </w:pPr>
    </w:p>
    <w:p>
      <w:pPr>
        <w:rPr>
          <w:rStyle w:val="47"/>
          <w:rFonts w:ascii="宋体" w:hAnsi="宋体" w:cs="宋体"/>
          <w:b/>
          <w:sz w:val="44"/>
        </w:rPr>
      </w:pPr>
    </w:p>
    <w:p>
      <w:pPr>
        <w:pStyle w:val="9"/>
        <w:rPr>
          <w:rStyle w:val="47"/>
          <w:rFonts w:ascii="宋体" w:hAnsi="宋体" w:cs="宋体"/>
          <w:b/>
          <w:sz w:val="44"/>
        </w:rPr>
      </w:pPr>
    </w:p>
    <w:p>
      <w:pPr>
        <w:rPr>
          <w:rStyle w:val="47"/>
          <w:rFonts w:ascii="宋体" w:hAnsi="宋体" w:cs="宋体"/>
          <w:b/>
          <w:sz w:val="44"/>
        </w:rPr>
      </w:pPr>
    </w:p>
    <w:p>
      <w:pPr>
        <w:pStyle w:val="9"/>
      </w:pPr>
    </w:p>
    <w:p>
      <w:pPr>
        <w:pStyle w:val="37"/>
        <w:outlineLvl w:val="0"/>
        <w:rPr>
          <w:rStyle w:val="47"/>
          <w:rFonts w:ascii="宋体" w:hAnsi="宋体" w:eastAsia="宋体" w:cs="宋体"/>
          <w:b/>
          <w:sz w:val="44"/>
        </w:rPr>
      </w:pPr>
      <w:r>
        <w:rPr>
          <w:rStyle w:val="47"/>
          <w:rFonts w:hint="eastAsia" w:ascii="宋体" w:hAnsi="宋体" w:eastAsia="宋体" w:cs="宋体"/>
          <w:b/>
          <w:sz w:val="44"/>
        </w:rPr>
        <w:t>第三章  合同条款及格式</w:t>
      </w:r>
      <w:bookmarkEnd w:id="4"/>
    </w:p>
    <w:p>
      <w:pPr>
        <w:spacing w:line="440" w:lineRule="exact"/>
        <w:ind w:firstLine="480" w:firstLineChars="200"/>
        <w:rPr>
          <w:rStyle w:val="47"/>
          <w:rFonts w:ascii="宋体" w:hAnsi="宋体" w:cs="宋体"/>
          <w:bCs/>
          <w:sz w:val="24"/>
        </w:rPr>
      </w:pPr>
      <w:r>
        <w:rPr>
          <w:rStyle w:val="47"/>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sz w:val="30"/>
          <w:szCs w:val="20"/>
        </w:rPr>
      </w:pPr>
      <w:bookmarkStart w:id="5" w:name="_Toc17926"/>
      <w:r>
        <w:rPr>
          <w:rStyle w:val="47"/>
          <w:rFonts w:ascii="宋体" w:hAnsi="宋体"/>
          <w:b/>
          <w:sz w:val="30"/>
        </w:rPr>
        <w:t>采购合同（货物格式）</w:t>
      </w:r>
    </w:p>
    <w:p>
      <w:pPr>
        <w:pStyle w:val="73"/>
        <w:snapToGrid w:val="0"/>
        <w:spacing w:line="420" w:lineRule="exact"/>
        <w:ind w:firstLine="480" w:firstLineChars="200"/>
        <w:jc w:val="left"/>
        <w:rPr>
          <w:rStyle w:val="47"/>
          <w:rFonts w:hint="eastAsia" w:hAnsi="宋体" w:eastAsia="宋体"/>
          <w:sz w:val="24"/>
          <w:szCs w:val="24"/>
          <w:u w:val="single" w:color="000000"/>
          <w:lang w:eastAsia="zh-CN"/>
        </w:rPr>
      </w:pPr>
      <w:r>
        <w:rPr>
          <w:rStyle w:val="47"/>
          <w:rFonts w:hAnsi="宋体"/>
          <w:sz w:val="24"/>
          <w:szCs w:val="24"/>
        </w:rPr>
        <w:t>项目名称：</w:t>
      </w:r>
      <w:r>
        <w:rPr>
          <w:rStyle w:val="47"/>
          <w:rFonts w:hint="eastAsia" w:hAnsi="宋体"/>
          <w:sz w:val="24"/>
          <w:szCs w:val="24"/>
          <w:u w:val="single" w:color="000000"/>
          <w:lang w:eastAsia="zh-CN"/>
        </w:rPr>
        <w:t>盐城工业职业技术学院商务数据分析软件</w:t>
      </w:r>
    </w:p>
    <w:p>
      <w:pPr>
        <w:pStyle w:val="73"/>
        <w:snapToGrid w:val="0"/>
        <w:spacing w:line="420" w:lineRule="exact"/>
        <w:ind w:firstLine="480" w:firstLineChars="200"/>
        <w:jc w:val="left"/>
        <w:rPr>
          <w:rStyle w:val="47"/>
          <w:rFonts w:hint="eastAsia" w:hAnsi="宋体" w:eastAsia="宋体"/>
          <w:sz w:val="24"/>
          <w:szCs w:val="24"/>
          <w:lang w:eastAsia="zh-CN"/>
        </w:rPr>
      </w:pPr>
      <w:r>
        <w:rPr>
          <w:rStyle w:val="47"/>
          <w:rFonts w:hAnsi="宋体"/>
          <w:sz w:val="24"/>
          <w:szCs w:val="24"/>
        </w:rPr>
        <w:t>项目编号：</w:t>
      </w:r>
      <w:r>
        <w:rPr>
          <w:rStyle w:val="47"/>
          <w:rFonts w:hint="eastAsia" w:hAnsi="宋体"/>
          <w:sz w:val="24"/>
          <w:szCs w:val="24"/>
          <w:u w:val="single"/>
        </w:rPr>
        <w:t>2023-</w:t>
      </w:r>
      <w:r>
        <w:rPr>
          <w:rStyle w:val="47"/>
          <w:rFonts w:hint="eastAsia" w:hAnsi="宋体"/>
          <w:sz w:val="24"/>
          <w:szCs w:val="24"/>
          <w:u w:val="single"/>
          <w:lang w:eastAsia="zh-CN"/>
        </w:rPr>
        <w:t>031W</w:t>
      </w:r>
    </w:p>
    <w:p>
      <w:pPr>
        <w:pStyle w:val="73"/>
        <w:snapToGrid w:val="0"/>
        <w:spacing w:line="420" w:lineRule="exact"/>
        <w:ind w:firstLine="480" w:firstLineChars="200"/>
        <w:rPr>
          <w:rStyle w:val="47"/>
          <w:rFonts w:hAnsi="宋体"/>
          <w:sz w:val="24"/>
          <w:szCs w:val="24"/>
        </w:rPr>
      </w:pPr>
      <w:r>
        <w:rPr>
          <w:rStyle w:val="47"/>
          <w:rFonts w:hAnsi="宋体"/>
          <w:sz w:val="24"/>
          <w:szCs w:val="24"/>
        </w:rPr>
        <w:t>甲方：（买方）</w:t>
      </w:r>
      <w:r>
        <w:rPr>
          <w:rStyle w:val="47"/>
          <w:rFonts w:hAnsi="宋体"/>
          <w:sz w:val="24"/>
          <w:szCs w:val="24"/>
          <w:u w:val="single" w:color="000000"/>
        </w:rPr>
        <w:t>盐城工业职业技术学院</w:t>
      </w:r>
    </w:p>
    <w:p>
      <w:pPr>
        <w:pStyle w:val="73"/>
        <w:snapToGrid w:val="0"/>
        <w:spacing w:line="420" w:lineRule="exact"/>
        <w:ind w:firstLine="480" w:firstLineChars="200"/>
        <w:rPr>
          <w:rStyle w:val="47"/>
          <w:rFonts w:hAnsi="宋体"/>
          <w:sz w:val="24"/>
          <w:szCs w:val="24"/>
        </w:rPr>
      </w:pPr>
      <w:r>
        <w:rPr>
          <w:rStyle w:val="47"/>
          <w:rFonts w:hAnsi="宋体"/>
          <w:sz w:val="24"/>
          <w:szCs w:val="24"/>
        </w:rPr>
        <w:t>乙方：（卖方）</w:t>
      </w:r>
    </w:p>
    <w:p>
      <w:pPr>
        <w:spacing w:line="420" w:lineRule="exact"/>
        <w:ind w:firstLine="480" w:firstLineChars="200"/>
        <w:rPr>
          <w:rStyle w:val="47"/>
          <w:rFonts w:ascii="宋体" w:hAnsi="宋体"/>
          <w:b/>
          <w:sz w:val="24"/>
          <w:szCs w:val="24"/>
        </w:rPr>
      </w:pPr>
      <w:r>
        <w:rPr>
          <w:rStyle w:val="47"/>
          <w:rFonts w:ascii="宋体" w:hAnsi="宋体"/>
          <w:sz w:val="24"/>
          <w:szCs w:val="24"/>
        </w:rPr>
        <w:t>甲、乙双方根据</w:t>
      </w:r>
      <w:r>
        <w:rPr>
          <w:rStyle w:val="47"/>
          <w:rFonts w:hint="eastAsia" w:ascii="宋体" w:hAnsi="宋体"/>
          <w:sz w:val="24"/>
          <w:szCs w:val="24"/>
          <w:u w:val="single" w:color="000000"/>
          <w:lang w:eastAsia="zh-CN"/>
        </w:rPr>
        <w:t>盐城工业职业技术学院商务数据分析软件</w:t>
      </w:r>
      <w:r>
        <w:rPr>
          <w:rStyle w:val="47"/>
          <w:rFonts w:ascii="宋体" w:hAnsi="宋体"/>
          <w:sz w:val="24"/>
          <w:szCs w:val="24"/>
        </w:rPr>
        <w:t>公开招标的结果，签署本合同。</w:t>
      </w:r>
    </w:p>
    <w:p>
      <w:pPr>
        <w:pStyle w:val="20"/>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20"/>
        <w:widowControl w:val="0"/>
        <w:snapToGrid w:val="0"/>
        <w:spacing w:before="0" w:beforeAutospacing="0" w:after="0" w:afterAutospacing="0" w:line="460" w:lineRule="exact"/>
        <w:ind w:firstLine="480" w:firstLineChars="200"/>
        <w:jc w:val="both"/>
        <w:rPr>
          <w:rStyle w:val="47"/>
          <w:bCs/>
          <w:kern w:val="2"/>
        </w:rPr>
      </w:pPr>
      <w:r>
        <w:rPr>
          <w:rStyle w:val="47"/>
          <w:rFonts w:hint="eastAsia"/>
          <w:bCs/>
          <w:kern w:val="2"/>
        </w:rPr>
        <w:t>详见招标文件项目需求</w:t>
      </w:r>
    </w:p>
    <w:p>
      <w:pPr>
        <w:pStyle w:val="2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w:t>
      </w:r>
    </w:p>
    <w:p>
      <w:pPr>
        <w:pStyle w:val="2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20"/>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20"/>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20"/>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20"/>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质保期：提供</w:t>
      </w:r>
      <w:r>
        <w:rPr>
          <w:rFonts w:hint="eastAsia"/>
          <w:color w:val="000000" w:themeColor="text1"/>
          <w:kern w:val="2"/>
          <w:u w:val="single"/>
          <w14:textFill>
            <w14:solidFill>
              <w14:schemeClr w14:val="tx1"/>
            </w14:solidFill>
          </w14:textFill>
        </w:rPr>
        <w:t xml:space="preserve"> </w:t>
      </w:r>
      <w:r>
        <w:rPr>
          <w:rFonts w:hint="eastAsia"/>
          <w:color w:val="000000" w:themeColor="text1"/>
          <w:kern w:val="2"/>
          <w:u w:val="single"/>
          <w:lang w:val="en-US" w:eastAsia="zh-CN"/>
          <w14:textFill>
            <w14:solidFill>
              <w14:schemeClr w14:val="tx1"/>
            </w14:solidFill>
          </w14:textFill>
        </w:rPr>
        <w:t>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年免费质保。（自交货验收合格之日起计）</w:t>
      </w:r>
    </w:p>
    <w:p>
      <w:pPr>
        <w:pStyle w:val="20"/>
        <w:widowControl w:val="0"/>
        <w:snapToGrid w:val="0"/>
        <w:spacing w:before="0" w:beforeAutospacing="0" w:after="0" w:afterAutospacing="0" w:line="460" w:lineRule="exact"/>
        <w:ind w:firstLine="480" w:firstLineChars="200"/>
        <w:jc w:val="both"/>
        <w:rPr>
          <w:rFonts w:hint="eastAsia"/>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8.2、所有质保费用均已包含在投标报价中，供应商提供的设备在质保期内因本身的质量问题发生故障，乙方应负责免费维修。</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9.1交货期:在签订合同后</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日历天内完成全部内容的服务工作（如甲方需要延时交付，可另行约定时间）。</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pStyle w:val="20"/>
        <w:widowControl w:val="0"/>
        <w:snapToGrid w:val="0"/>
        <w:spacing w:before="0" w:beforeAutospacing="0" w:after="0" w:afterAutospacing="0" w:line="460" w:lineRule="exact"/>
        <w:ind w:firstLine="480" w:firstLineChars="200"/>
        <w:jc w:val="both"/>
        <w:rPr>
          <w:rFonts w:hint="eastAsia"/>
          <w:color w:val="FF0000"/>
        </w:rPr>
      </w:pPr>
      <w:r>
        <w:rPr>
          <w:rFonts w:hint="eastAsia"/>
          <w:color w:val="000000" w:themeColor="text1"/>
          <w14:textFill>
            <w14:solidFill>
              <w14:schemeClr w14:val="tx1"/>
            </w14:solidFill>
          </w14:textFill>
        </w:rPr>
        <w:t xml:space="preserve">10.1付款方式:招标范围内容全部完成并经安装调试、培训结束，验收合格后付总价的 90%；一年后根据售后服务情况付至总价的 </w:t>
      </w:r>
      <w:r>
        <w:rPr>
          <w:rFonts w:hint="eastAsia"/>
          <w:color w:val="000000" w:themeColor="text1"/>
          <w:lang w:val="en-US" w:eastAsia="zh-CN"/>
          <w14:textFill>
            <w14:solidFill>
              <w14:schemeClr w14:val="tx1"/>
            </w14:solidFill>
          </w14:textFill>
        </w:rPr>
        <w:t>100</w:t>
      </w:r>
      <w:r>
        <w:rPr>
          <w:rFonts w:hint="eastAsia"/>
          <w:color w:val="000000" w:themeColor="text1"/>
          <w14:textFill>
            <w14:solidFill>
              <w14:schemeClr w14:val="tx1"/>
            </w14:solidFill>
          </w14:textFill>
        </w:rPr>
        <w:t>%。</w:t>
      </w:r>
      <w:r>
        <w:rPr>
          <w:rFonts w:hint="eastAsia"/>
          <w:color w:val="000000" w:themeColor="text1"/>
          <w:kern w:val="2"/>
          <w14:textFill>
            <w14:solidFill>
              <w14:schemeClr w14:val="tx1"/>
            </w14:solidFill>
          </w14:textFill>
        </w:rPr>
        <w:t>乙方必须提供增值税专用发票，否则甲方有权不付款。</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10.2当采购数量与实际使用数量不一致时，乙方应根据实际使用量供货，合同的最终结算金额按实际使用量乘以成交单价进行计算。</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20"/>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12.1乙方应按公开招标文件规定及响应文件承诺向甲方提供服务;若无特殊说明，则按国家有关部门最新颁布的标准及规范为准。</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12.2乙方应保证其提供的服务是全面和规范的，并完全符合公开招标文件及响应文件。如因乙方提供的服务有瑕疵造成甲方损失的,所需费用由乙方承担。</w:t>
      </w:r>
    </w:p>
    <w:p>
      <w:pPr>
        <w:pStyle w:val="20"/>
        <w:widowControl w:val="0"/>
        <w:snapToGrid w:val="0"/>
        <w:spacing w:before="0" w:beforeAutospacing="0" w:after="0" w:afterAutospacing="0" w:line="460" w:lineRule="exact"/>
        <w:ind w:firstLine="480" w:firstLineChars="20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12.3如在使用过程中发生质量问题，乙方在接到甲方通知后在6小时内到达甲方现场提供免费上门维修服务，12小时内确保系统正常运行。</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12.4服务期限内，乙方应对所提供服务出现的质量及安全问题负责处理解决并承担一切费用。</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12.5免费服务期内，乙方为甲方提供相关人员免费培训辅导、问题解答等后续的咨询服务。</w:t>
      </w:r>
    </w:p>
    <w:p>
      <w:pPr>
        <w:snapToGrid w:val="0"/>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乙方应当在合同签订后规定时间内完成服务事项，公开招标文件有约定的，从其约定。</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在交付前，乙方应作出全面检查和对验收文件进行整理，并列出清单，作为甲方验收和使用的技术条件依据。</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于乙方要交付的服务，甲乙双方须在15个工作日内完成验收，甲方对乙方提交的服务成果依据公开招标文件上的要求、乙方响应文件的承诺和国家有关质量标准进行验收。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2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2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2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双方在执行合同中所发生的一切争议，应通过协商解决。如协商不成，可向合同签订地法院起诉，合同签订地在此约定为盐城市。</w:t>
      </w:r>
    </w:p>
    <w:p>
      <w:pPr>
        <w:pStyle w:val="20"/>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17.2本合同未尽事宜，遵照《中华人民共和国民法典》有关条文执行。</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本合同正本一式二份，副本一式六份，具有同等法律效力。</w:t>
      </w:r>
    </w:p>
    <w:p>
      <w:pPr>
        <w:pStyle w:val="20"/>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20"/>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20"/>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7"/>
        <w:spacing w:line="360" w:lineRule="auto"/>
        <w:outlineLvl w:val="0"/>
        <w:rPr>
          <w:rStyle w:val="47"/>
          <w:rFonts w:ascii="宋体" w:hAnsi="宋体" w:eastAsia="宋体" w:cs="宋体"/>
          <w:b/>
          <w:sz w:val="24"/>
          <w:szCs w:val="24"/>
        </w:rPr>
      </w:pPr>
      <w:r>
        <w:rPr>
          <w:rStyle w:val="47"/>
          <w:rFonts w:hint="eastAsia" w:ascii="宋体" w:hAnsi="宋体" w:eastAsia="宋体" w:cs="宋体"/>
          <w:b/>
          <w:sz w:val="44"/>
        </w:rPr>
        <w:t>第四章 项目需求</w:t>
      </w:r>
      <w:bookmarkEnd w:id="5"/>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b w:val="0"/>
          <w:bCs w:val="0"/>
          <w:sz w:val="24"/>
          <w:szCs w:val="24"/>
          <w:lang w:val="en-US" w:eastAsia="zh-CN"/>
        </w:rPr>
      </w:pPr>
      <w:bookmarkStart w:id="6" w:name="_Toc32259"/>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bCs/>
          <w:sz w:val="24"/>
          <w:szCs w:val="24"/>
          <w:lang w:val="en-US" w:eastAsia="zh-CN"/>
        </w:rPr>
      </w:pPr>
      <w:r>
        <w:rPr>
          <w:rFonts w:hint="eastAsia"/>
          <w:b/>
          <w:bCs/>
          <w:sz w:val="24"/>
          <w:szCs w:val="24"/>
          <w:lang w:val="en-US" w:eastAsia="zh-CN"/>
        </w:rPr>
        <w:t>一、项目用途：</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b w:val="0"/>
          <w:bCs w:val="0"/>
          <w:sz w:val="24"/>
          <w:szCs w:val="24"/>
          <w:lang w:val="en-US" w:eastAsia="zh-CN"/>
        </w:rPr>
      </w:pPr>
      <w:r>
        <w:rPr>
          <w:rFonts w:hint="eastAsia"/>
          <w:b w:val="0"/>
          <w:bCs w:val="0"/>
          <w:sz w:val="24"/>
          <w:szCs w:val="24"/>
          <w:lang w:val="en-US" w:eastAsia="zh-CN"/>
        </w:rPr>
        <w:t>省级虚拟仿真实训基地建设需要；</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b w:val="0"/>
          <w:bCs w:val="0"/>
          <w:sz w:val="24"/>
          <w:szCs w:val="24"/>
          <w:lang w:val="en-US" w:eastAsia="zh-CN"/>
        </w:rPr>
      </w:pPr>
      <w:r>
        <w:rPr>
          <w:rFonts w:hint="eastAsia"/>
          <w:b w:val="0"/>
          <w:bCs w:val="0"/>
          <w:sz w:val="24"/>
          <w:szCs w:val="24"/>
          <w:lang w:val="en-US" w:eastAsia="zh-CN"/>
        </w:rPr>
        <w:t>经贸管理学院《商务数据分析》课程建设需求；</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b w:val="0"/>
          <w:bCs w:val="0"/>
          <w:sz w:val="24"/>
          <w:szCs w:val="24"/>
          <w:lang w:val="en-US" w:eastAsia="zh-CN"/>
        </w:rPr>
      </w:pPr>
      <w:r>
        <w:rPr>
          <w:rFonts w:hint="eastAsia"/>
          <w:b w:val="0"/>
          <w:bCs w:val="0"/>
          <w:sz w:val="24"/>
          <w:szCs w:val="24"/>
          <w:lang w:val="en-US" w:eastAsia="zh-CN"/>
        </w:rPr>
        <w:t>物流管理、电子商务、会计、金融专业大专生课程教学需要。</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bCs/>
          <w:sz w:val="24"/>
          <w:szCs w:val="24"/>
        </w:rPr>
      </w:pPr>
      <w:r>
        <w:rPr>
          <w:rFonts w:hint="eastAsia"/>
          <w:b/>
          <w:bCs/>
          <w:sz w:val="24"/>
          <w:szCs w:val="24"/>
          <w:lang w:val="en-US" w:eastAsia="zh-CN"/>
        </w:rPr>
        <w:t>二</w:t>
      </w:r>
      <w:r>
        <w:rPr>
          <w:rFonts w:hint="eastAsia"/>
          <w:b/>
          <w:bCs/>
          <w:sz w:val="24"/>
          <w:szCs w:val="24"/>
        </w:rPr>
        <w:t>、</w:t>
      </w:r>
      <w:r>
        <w:rPr>
          <w:rFonts w:hint="eastAsia"/>
          <w:b/>
          <w:bCs/>
          <w:sz w:val="24"/>
          <w:szCs w:val="24"/>
          <w:lang w:val="en-US" w:eastAsia="zh-CN"/>
        </w:rPr>
        <w:t>项目内容</w:t>
      </w:r>
      <w:r>
        <w:rPr>
          <w:rFonts w:hint="eastAsia"/>
          <w:b/>
          <w:bCs/>
          <w:sz w:val="24"/>
          <w:szCs w:val="24"/>
        </w:rPr>
        <w:t>：</w:t>
      </w:r>
    </w:p>
    <w:tbl>
      <w:tblPr>
        <w:tblStyle w:val="22"/>
        <w:tblW w:w="96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7"/>
        <w:gridCol w:w="7406"/>
        <w:gridCol w:w="506"/>
        <w:gridCol w:w="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shd w:val="clear" w:color="auto" w:fill="auto"/>
            <w:vAlign w:val="center"/>
          </w:tcPr>
          <w:p>
            <w:pPr>
              <w:spacing w:line="360" w:lineRule="auto"/>
              <w:jc w:val="center"/>
              <w:rPr>
                <w:rFonts w:hint="eastAsia" w:ascii="宋体" w:hAnsi="宋体" w:eastAsia="宋体" w:cs="宋体"/>
                <w:b/>
                <w:color w:val="000000"/>
                <w:sz w:val="24"/>
                <w:szCs w:val="24"/>
              </w:rPr>
            </w:pPr>
            <w:bookmarkStart w:id="60" w:name="_GoBack"/>
            <w:r>
              <w:rPr>
                <w:rFonts w:hint="eastAsia" w:ascii="宋体" w:hAnsi="宋体" w:eastAsia="宋体" w:cs="宋体"/>
                <w:b/>
                <w:color w:val="000000"/>
                <w:sz w:val="24"/>
                <w:szCs w:val="24"/>
              </w:rPr>
              <w:t>产品名称</w:t>
            </w:r>
          </w:p>
        </w:tc>
        <w:tc>
          <w:tcPr>
            <w:tcW w:w="7406" w:type="dxa"/>
            <w:shd w:val="clear" w:color="auto" w:fill="auto"/>
            <w:vAlign w:val="center"/>
          </w:tcPr>
          <w:p>
            <w:pPr>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技术参数</w:t>
            </w:r>
          </w:p>
        </w:tc>
        <w:tc>
          <w:tcPr>
            <w:tcW w:w="506" w:type="dxa"/>
            <w:shd w:val="clear" w:color="auto" w:fill="auto"/>
            <w:vAlign w:val="center"/>
          </w:tcPr>
          <w:p>
            <w:pPr>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单位</w:t>
            </w:r>
          </w:p>
        </w:tc>
        <w:tc>
          <w:tcPr>
            <w:tcW w:w="501" w:type="dxa"/>
            <w:shd w:val="clear" w:color="auto" w:fill="auto"/>
            <w:vAlign w:val="center"/>
          </w:tcPr>
          <w:p>
            <w:pPr>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shd w:val="clear" w:color="auto" w:fill="auto"/>
            <w:vAlign w:val="center"/>
          </w:tcPr>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商务数据分析与可视化平台</w:t>
            </w:r>
          </w:p>
          <w:p>
            <w:pPr>
              <w:spacing w:line="360" w:lineRule="auto"/>
              <w:jc w:val="center"/>
              <w:rPr>
                <w:rFonts w:hint="eastAsia" w:ascii="宋体" w:hAnsi="宋体" w:eastAsia="宋体" w:cs="宋体"/>
                <w:bCs/>
                <w:sz w:val="24"/>
                <w:szCs w:val="24"/>
              </w:rPr>
            </w:pPr>
          </w:p>
        </w:tc>
        <w:tc>
          <w:tcPr>
            <w:tcW w:w="7406" w:type="dxa"/>
            <w:shd w:val="clear" w:color="auto" w:fill="auto"/>
            <w:vAlign w:val="center"/>
          </w:tcPr>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平台以商务数据分析类考试大纲、职业技能证书标准等要求为依据，配套丰富的题目组成海量题库，教师可以根据需求自由组合试卷，学生答卷后系统将自动生成一份职业能力评测报告。</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1、题库管理</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1.1、题库支持自定义多级分类管理，对分类支持增加、删除、修改操作，建设好的题库可以调整所属分类。</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1.2、至少应支持单选、多选、填空、判断、简答等常见题型。</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1.3、建设题库时除可以手动录入外应支持模板导入功能，模板至少提供常用的excel格式。</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2、试卷管理</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2.1、可以从题库选择试题进行组卷，支持在线修改试卷名称、排序、内容、添加、删除试题等。</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2.2、可根据知识点指定试题类型随机组合试卷。</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3、考试管理</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3.1、可创建考试，对考试时间、考试时长进行设置，并指定考试人员、阅卷老师。</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4、考试阅卷</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4.1、系统自动对客观题进行机选判分</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4.2、阅卷老师可对考试进行阅卷，对主观题进行人工评分，并可检查客观题判分情况，有修改客观题评分的权限。</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5、成绩统计</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5.1、针对每场考试有完整的数据统计查看正常考试的得分情况，并支持查看每位考生具体的答题情况。</w:t>
            </w:r>
          </w:p>
          <w:p>
            <w:pPr>
              <w:widowControl/>
              <w:spacing w:line="360" w:lineRule="auto"/>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6、软件具备1500道以上的商务数据分析训练题。</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7、商务数据分析视觉设计评测模块</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7.1软件按照系统化、流程化的模式评测学生的视觉设计能力，学生须按顺序完成前一个模块的任务后才可进行下一个任务的训练。</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7.2软件具备装修规则及装修素材给学生查看，帮助学生进行店铺装修能力评测。</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▲7.3软件具备店招设置、电脑海报设置、店铺分类设置、店铺商品设置等模块，学生按照装修规则对店铺进行装修后。由老师进行店铺装修预览并打分。</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8、商务数据分析经营策略评测模块</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8.1行业数据：提供多平台，多国家的，多时间段的商务平台国家数据分析，包括可查看行业的浏览量、访问量、购买量和卖家行为。并通过图表的形式展示最新的行业数据（浏览指数、点击指数、购买力和卖家商品上新时间分布）。学生可使用数据横向对比趋势图对部分数据进行多数据横向对比。</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8.2商品数据：通过列表的形式展示品牌榜单数据（商品缩略图、商品标题、SKU、点击率、转化率、成本价和查看商品详情操作）。可查看该品牌详细的数据（品牌商品按点击指数的排名、品牌商品按转化率指数的排名、品牌商品按成本价的排名和查看该品牌商品的具体详情信息），学生可使用数据横向对比趋势图将以上数据通过折线图的形式展示出来。</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▲8.3物流数据：提供多国家区域的海运及空运物流数据，包括价格，时效，帮助学生进行相关物流成本测算，以便于提升商务数据运营及数据分析能力。</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8.4仓配数据：提供多国家区域的海外仓经营数据，包括租仓价格，尾程物流时效，物流订单破损率等，租仓价格费用以季度/每立方为单位通过图表呈现，帮助学生进行相关物流成本测算，以便于提升商务数据运营及数据分析能力。</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8.5汇率换算：提供多币种汇率换算，包括美元，英镑，卢布，日元，韩元等多币种汇率换算，帮助学生学习掌握汇率换算相关技能，合理制定商品价格，提高产品销售利润率。</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8.6采购管理：软件提供大量的商品数据给学生进行商品采购。采购商品信息包括（品牌、商品、成本价）等操作。</w:t>
            </w:r>
            <w:r>
              <w:rPr>
                <w:rFonts w:hint="eastAsia" w:ascii="宋体" w:hAnsi="宋体" w:eastAsia="宋体" w:cs="宋体"/>
                <w:sz w:val="24"/>
                <w:szCs w:val="24"/>
              </w:rPr>
              <w:br w:type="textWrapping"/>
            </w:r>
            <w:r>
              <w:rPr>
                <w:rFonts w:hint="eastAsia" w:ascii="宋体" w:hAnsi="宋体" w:eastAsia="宋体" w:cs="宋体"/>
                <w:sz w:val="24"/>
                <w:szCs w:val="24"/>
              </w:rPr>
              <w:t>▲ 8.7商品管理：支持多国家、多仓储、多物流多商品管理。帮助学生学习同时掌握各个国家的商品数据分配上架销售管理等技能，合理指定商品的销售策略。</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8.8店铺经营：支持多国家区域多平台店铺开设，包括亚马逊，速卖通，Ebay，Lazada，Shopee，Shopify平台，店铺开设信息资料以系统内置方式添加，帮助学生了解学习商务数据分析平台注册开店流程。支持多店铺共同经营，并且整体经营以季度为单位，按照全年四个季度进行数据分析与运营，每个季度的销售利润会结算到下一个周期的初始资金中，最终以四季度最终的总利润作为恒定标准，帮助学生体验完整的商务数据分析平台销售流程，提升商务数据分析平台运营思维。</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9.店铺营销评测模块</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9.1软件具备多种类目的活动策划方案。</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■9.2店铺促销：学生可创建满减促销等店铺促销活动。并设置促销活动的名称、 优惠内容、商品等信息。</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9.3套装促销：可将多个商品打包成一个优惠套装进行促销销售。可设置单个商品的优惠金额及选定必买商品。</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▲9.4优惠券：可创建店铺优惠券，设置优惠券名称、优惠门槛及选定商品是否参与。</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10.店铺引流评测模块</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■10.1展位广告趋势分析：通过数据横向对比趋势图将展位广告的趋势分析通过折线图的形式展现（展现次数、点击率、转化率）。</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10.2展位广告地区分布：通过列表排名的形式将展位广告在各区域的点击率、转化率等信息展示出来。展示区域涵盖商务数据分析平台主流国家以及部分地区，实现广告流量精准投放。</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10.3搜索广告趋势分析：通过数据横向对比趋势图将搜索广告的趋势分析通过折线图的形式展现（展现次数、点击率、转化率）。</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10.4搜索广告地区分布：通过列表排名的形式将搜索广告在各区域的点击率、转化率等信息展示出来。展示区域涵盖商务数据分析平台主流国家以及部分地区，实现广告流量精准投放。</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10.5展位广告热门搜索词：通过列表的形式将关键词、搜索量、平均出价、点击率、转化率等信息展示出来。</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10.6展位广告设置：可创建展位广告，设置广告单元的名称、通投出价、资源位（资源位名称、潜在买家数量、最低出价、平均出价、竞争热度、转化率、点击率）、定向推广设置（设置定向推广区域、定向推荐人群等信息）</w:t>
            </w:r>
            <w:r>
              <w:rPr>
                <w:rFonts w:hint="eastAsia" w:ascii="宋体" w:hAnsi="宋体" w:eastAsia="宋体" w:cs="宋体"/>
                <w:sz w:val="24"/>
                <w:szCs w:val="24"/>
              </w:rPr>
              <w:br w:type="textWrapping"/>
            </w:r>
            <w:r>
              <w:rPr>
                <w:rFonts w:hint="eastAsia" w:ascii="宋体" w:hAnsi="宋体" w:eastAsia="宋体" w:cs="宋体"/>
                <w:sz w:val="24"/>
                <w:szCs w:val="24"/>
              </w:rPr>
              <w:t>11.商务数据分析客户服务评测模块</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11.1学生可查看该机器人客户目前浏览的商品信息（商品标题、商品主图、商品详情页、商品价格)。</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11.2软件通过学生回答的关键词自动判定学生答案的正确与否。从而评测学生的客户服务能力。</w:t>
            </w:r>
          </w:p>
          <w:p>
            <w:pPr>
              <w:widowControl/>
              <w:spacing w:line="360" w:lineRule="auto"/>
              <w:rPr>
                <w:rFonts w:hint="eastAsia" w:ascii="宋体" w:hAnsi="宋体" w:eastAsia="宋体" w:cs="宋体"/>
                <w:kern w:val="0"/>
                <w:sz w:val="24"/>
                <w:szCs w:val="24"/>
              </w:rPr>
            </w:pPr>
            <w:r>
              <w:rPr>
                <w:rFonts w:hint="eastAsia" w:ascii="宋体" w:hAnsi="宋体" w:eastAsia="宋体" w:cs="宋体"/>
                <w:sz w:val="24"/>
                <w:szCs w:val="24"/>
              </w:rPr>
              <w:t>11.3 软件提供日语，韩语等小语种机器人提问，锻炼学生商务数据分析平台语言能力。</w:t>
            </w:r>
          </w:p>
        </w:tc>
        <w:tc>
          <w:tcPr>
            <w:tcW w:w="506" w:type="dxa"/>
            <w:shd w:val="clear" w:color="auto" w:fill="auto"/>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501" w:type="dxa"/>
            <w:shd w:val="clear" w:color="auto" w:fill="auto"/>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r>
      <w:bookmarkEnd w:id="60"/>
    </w:tbl>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bCs/>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bCs/>
          <w:sz w:val="24"/>
          <w:szCs w:val="24"/>
          <w:lang w:val="en-US" w:eastAsia="zh-CN"/>
        </w:rPr>
      </w:pPr>
      <w:r>
        <w:rPr>
          <w:rFonts w:hint="eastAsia"/>
          <w:b/>
          <w:bCs/>
          <w:sz w:val="24"/>
          <w:szCs w:val="24"/>
          <w:lang w:val="en-US" w:eastAsia="zh-CN"/>
        </w:rPr>
        <w:t>三、售后服务及质保要求</w:t>
      </w:r>
    </w:p>
    <w:p>
      <w:pPr>
        <w:pStyle w:val="20"/>
        <w:spacing w:before="0" w:beforeAutospacing="0" w:after="0" w:afterAutospacing="0"/>
        <w:ind w:left="479" w:leftChars="228"/>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1、中标人须提供1年的免费质量保证售后服务，提供整个软件系统终身免费使用服务。（自交货验收合格之日起计）</w:t>
      </w:r>
    </w:p>
    <w:p>
      <w:pPr>
        <w:pStyle w:val="20"/>
        <w:spacing w:before="0" w:beforeAutospacing="0" w:after="0" w:afterAutospacing="0"/>
        <w:ind w:firstLine="480" w:firstLineChars="200"/>
        <w:rPr>
          <w:rFonts w:hint="eastAsia" w:ascii="Times New Roman" w:hAnsi="Times New Roman" w:eastAsia="宋体" w:cstheme="minorBidi"/>
          <w:kern w:val="2"/>
          <w:sz w:val="24"/>
          <w:szCs w:val="24"/>
          <w:lang w:val="en-US" w:eastAsia="zh-CN" w:bidi="ar-SA"/>
        </w:rPr>
      </w:pPr>
      <w:r>
        <w:rPr>
          <w:rFonts w:hint="eastAsia" w:ascii="Times New Roman" w:hAnsi="Times New Roman" w:cstheme="minorBidi"/>
          <w:kern w:val="2"/>
          <w:sz w:val="24"/>
          <w:szCs w:val="24"/>
          <w:lang w:val="en-US" w:eastAsia="zh-CN" w:bidi="ar-SA"/>
        </w:rPr>
        <w:t>2</w:t>
      </w:r>
      <w:r>
        <w:rPr>
          <w:rFonts w:hint="eastAsia" w:ascii="Times New Roman" w:hAnsi="Times New Roman" w:eastAsia="宋体" w:cstheme="minorBidi"/>
          <w:kern w:val="2"/>
          <w:sz w:val="24"/>
          <w:szCs w:val="24"/>
          <w:lang w:val="en-US" w:eastAsia="zh-CN" w:bidi="ar-SA"/>
        </w:rPr>
        <w:t>、如在使用过程中发生质量问题，中标单位在接到甲方通知后在6小时内到达甲方现场提供免费上门维修服务，12小时内确保系统正常运行。</w:t>
      </w:r>
    </w:p>
    <w:p>
      <w:pPr>
        <w:pStyle w:val="20"/>
        <w:spacing w:before="0" w:beforeAutospacing="0" w:after="0" w:afterAutospacing="0"/>
        <w:ind w:firstLine="480" w:firstLineChars="200"/>
        <w:rPr>
          <w:rFonts w:hint="eastAsia" w:ascii="Times New Roman" w:hAnsi="Times New Roman" w:eastAsia="宋体" w:cstheme="minorBidi"/>
          <w:kern w:val="2"/>
          <w:sz w:val="24"/>
          <w:szCs w:val="24"/>
          <w:lang w:val="en-US" w:eastAsia="zh-CN" w:bidi="ar-SA"/>
        </w:rPr>
      </w:pPr>
      <w:r>
        <w:rPr>
          <w:rFonts w:hint="eastAsia" w:ascii="Times New Roman" w:hAnsi="Times New Roman" w:cstheme="minorBidi"/>
          <w:kern w:val="2"/>
          <w:sz w:val="24"/>
          <w:szCs w:val="24"/>
          <w:lang w:val="en-US" w:eastAsia="zh-CN" w:bidi="ar-SA"/>
        </w:rPr>
        <w:t>3</w:t>
      </w:r>
      <w:r>
        <w:rPr>
          <w:rFonts w:hint="eastAsia" w:ascii="Times New Roman" w:hAnsi="Times New Roman" w:eastAsia="宋体" w:cstheme="minorBidi"/>
          <w:kern w:val="2"/>
          <w:sz w:val="24"/>
          <w:szCs w:val="24"/>
          <w:lang w:val="en-US" w:eastAsia="zh-CN" w:bidi="ar-SA"/>
        </w:rPr>
        <w:t>、在质保期内，中标单位应对货物出现的质量及安全问题负责处理解决并承担一切费用。</w:t>
      </w:r>
    </w:p>
    <w:p>
      <w:pPr>
        <w:pStyle w:val="20"/>
        <w:spacing w:before="0" w:beforeAutospacing="0" w:after="0" w:afterAutospacing="0"/>
        <w:ind w:firstLine="480" w:firstLineChars="200"/>
        <w:rPr>
          <w:rFonts w:hint="eastAsia" w:ascii="Times New Roman" w:hAnsi="Times New Roman" w:eastAsia="宋体" w:cstheme="minorBidi"/>
          <w:kern w:val="2"/>
          <w:sz w:val="24"/>
          <w:szCs w:val="24"/>
          <w:lang w:val="en-US" w:eastAsia="zh-CN" w:bidi="ar-SA"/>
        </w:rPr>
      </w:pPr>
      <w:r>
        <w:rPr>
          <w:rFonts w:hint="eastAsia" w:ascii="Times New Roman" w:hAnsi="Times New Roman" w:cstheme="minorBidi"/>
          <w:kern w:val="2"/>
          <w:sz w:val="24"/>
          <w:szCs w:val="24"/>
          <w:lang w:val="en-US" w:eastAsia="zh-CN" w:bidi="ar-SA"/>
        </w:rPr>
        <w:t>4</w:t>
      </w:r>
      <w:r>
        <w:rPr>
          <w:rFonts w:hint="eastAsia" w:ascii="Times New Roman" w:hAnsi="Times New Roman" w:eastAsia="宋体" w:cstheme="minorBidi"/>
          <w:kern w:val="2"/>
          <w:sz w:val="24"/>
          <w:szCs w:val="24"/>
          <w:lang w:val="en-US" w:eastAsia="zh-CN" w:bidi="ar-SA"/>
        </w:rPr>
        <w:t>、中标单位须向甲方免费提供培训服务，确保使用者完全会使用及操作为止。</w:t>
      </w:r>
    </w:p>
    <w:p>
      <w:pPr>
        <w:pStyle w:val="20"/>
        <w:spacing w:before="0" w:beforeAutospacing="0" w:after="0" w:afterAutospacing="0"/>
        <w:ind w:left="479" w:leftChars="228"/>
        <w:rPr>
          <w:rFonts w:hint="eastAsia" w:ascii="Times New Roman" w:hAnsi="Times New Roman" w:eastAsia="宋体" w:cstheme="minorBidi"/>
          <w:kern w:val="2"/>
          <w:sz w:val="24"/>
          <w:szCs w:val="24"/>
          <w:lang w:val="en-US" w:eastAsia="zh-CN" w:bidi="ar-SA"/>
        </w:rPr>
      </w:pPr>
      <w:r>
        <w:rPr>
          <w:rFonts w:hint="eastAsia" w:ascii="Times New Roman" w:hAnsi="Times New Roman" w:cstheme="minorBidi"/>
          <w:kern w:val="2"/>
          <w:sz w:val="24"/>
          <w:szCs w:val="24"/>
          <w:lang w:val="en-US" w:eastAsia="zh-CN" w:bidi="ar-SA"/>
        </w:rPr>
        <w:t>5</w:t>
      </w:r>
      <w:r>
        <w:rPr>
          <w:rFonts w:hint="eastAsia" w:ascii="Times New Roman" w:hAnsi="Times New Roman" w:eastAsia="宋体" w:cstheme="minorBidi"/>
          <w:kern w:val="2"/>
          <w:sz w:val="24"/>
          <w:szCs w:val="24"/>
          <w:lang w:val="en-US" w:eastAsia="zh-CN" w:bidi="ar-SA"/>
        </w:rPr>
        <w:t>、质保期内，乙方免费提供系统升级服务。</w:t>
      </w:r>
    </w:p>
    <w:p>
      <w:pPr>
        <w:pStyle w:val="90"/>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2" w:firstLineChars="200"/>
        <w:jc w:val="both"/>
        <w:textAlignment w:val="baseline"/>
        <w:outlineLvl w:val="0"/>
        <w:rPr>
          <w:rFonts w:hint="eastAsia" w:ascii="Times New Roman" w:hAnsi="Times New Roman" w:cstheme="minorBidi"/>
          <w:b/>
          <w:bCs/>
          <w:kern w:val="2"/>
          <w:sz w:val="24"/>
          <w:szCs w:val="24"/>
          <w:lang w:val="en-US" w:eastAsia="zh-CN" w:bidi="ar-SA"/>
        </w:rPr>
      </w:pPr>
    </w:p>
    <w:p>
      <w:pPr>
        <w:pStyle w:val="90"/>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baseline"/>
        <w:outlineLvl w:val="0"/>
        <w:rPr>
          <w:rFonts w:hint="default" w:ascii="Times New Roman" w:hAnsi="Times New Roman" w:eastAsia="宋体" w:cstheme="minorBidi"/>
          <w:kern w:val="2"/>
          <w:sz w:val="24"/>
          <w:szCs w:val="24"/>
          <w:lang w:val="en-US" w:eastAsia="zh-CN" w:bidi="ar-SA"/>
        </w:rPr>
      </w:pPr>
    </w:p>
    <w:p>
      <w:pPr>
        <w:pStyle w:val="90"/>
        <w:spacing w:before="290" w:after="290"/>
        <w:jc w:val="both"/>
        <w:outlineLvl w:val="0"/>
        <w:rPr>
          <w:rStyle w:val="47"/>
          <w:rFonts w:cs="宋体"/>
          <w:b/>
          <w:sz w:val="44"/>
        </w:rPr>
      </w:pPr>
    </w:p>
    <w:p>
      <w:pPr>
        <w:pStyle w:val="90"/>
        <w:spacing w:before="290" w:after="290"/>
        <w:jc w:val="center"/>
        <w:outlineLvl w:val="0"/>
        <w:rPr>
          <w:rStyle w:val="47"/>
          <w:rFonts w:cs="宋体"/>
        </w:rPr>
      </w:pPr>
      <w:r>
        <w:rPr>
          <w:rStyle w:val="47"/>
          <w:rFonts w:hint="eastAsia" w:cs="宋体"/>
          <w:b/>
          <w:sz w:val="44"/>
        </w:rPr>
        <w:t>第五章  评标方法与评标标准</w:t>
      </w:r>
      <w:bookmarkEnd w:id="6"/>
    </w:p>
    <w:p>
      <w:pPr>
        <w:snapToGrid w:val="0"/>
        <w:spacing w:line="500" w:lineRule="exact"/>
        <w:ind w:firstLine="482" w:firstLineChars="200"/>
        <w:rPr>
          <w:rStyle w:val="47"/>
          <w:rFonts w:ascii="宋体" w:hAnsi="宋体" w:cs="宋体"/>
          <w:b/>
          <w:bCs/>
          <w:sz w:val="24"/>
          <w:szCs w:val="24"/>
        </w:rPr>
      </w:pPr>
      <w:r>
        <w:rPr>
          <w:rStyle w:val="47"/>
          <w:rFonts w:hint="eastAsia" w:ascii="宋体" w:hAnsi="宋体" w:cs="宋体"/>
          <w:b/>
          <w:bCs/>
          <w:sz w:val="24"/>
          <w:szCs w:val="24"/>
        </w:rPr>
        <w:t>一、评标方法与定标原则</w:t>
      </w:r>
    </w:p>
    <w:p>
      <w:pPr>
        <w:snapToGrid w:val="0"/>
        <w:spacing w:line="500" w:lineRule="exact"/>
        <w:ind w:firstLine="480" w:firstLineChars="200"/>
        <w:rPr>
          <w:rFonts w:ascii="宋体" w:hAnsi="宋体" w:cs="宋体"/>
          <w:bCs/>
          <w:sz w:val="24"/>
          <w:szCs w:val="24"/>
        </w:rPr>
      </w:pPr>
      <w:r>
        <w:rPr>
          <w:rFonts w:hint="eastAsia" w:ascii="宋体" w:hAnsi="宋体" w:cs="宋体"/>
          <w:bCs/>
          <w:sz w:val="24"/>
          <w:szCs w:val="24"/>
        </w:rPr>
        <w:t>评标采用综合评分法，评标结果按评审后得分由高到低顺序排列。得分相同的，按投标报价由低到高顺序排列。得分且投标报价相同的并列，由评标委员会组织通过抽签的方式确定中标候选人的排序。投标文件满足招标文件全部实质性要求，且按照评审因素的量化指标评审得分最高的投标人为排名第一的中标候选人。</w:t>
      </w:r>
    </w:p>
    <w:p>
      <w:pPr>
        <w:snapToGrid w:val="0"/>
        <w:spacing w:line="500" w:lineRule="exact"/>
        <w:ind w:firstLine="480" w:firstLineChars="200"/>
        <w:rPr>
          <w:rFonts w:hint="eastAsia" w:ascii="宋体" w:hAnsi="宋体" w:eastAsia="宋体" w:cs="宋体"/>
          <w:bCs/>
          <w:sz w:val="24"/>
          <w:szCs w:val="24"/>
          <w:lang w:val="en-US" w:eastAsia="zh-CN"/>
        </w:rPr>
      </w:pPr>
      <w:r>
        <w:rPr>
          <w:rFonts w:hint="eastAsia" w:ascii="宋体" w:hAnsi="宋体" w:cs="宋体"/>
          <w:bCs/>
          <w:sz w:val="24"/>
          <w:szCs w:val="24"/>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w:t>
      </w:r>
      <w:r>
        <w:rPr>
          <w:rFonts w:hint="eastAsia" w:ascii="宋体" w:hAnsi="宋体" w:eastAsia="宋体" w:cs="宋体"/>
          <w:bCs/>
          <w:sz w:val="24"/>
          <w:szCs w:val="24"/>
        </w:rPr>
        <w:t>于成本报价</w:t>
      </w: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"https://link.zhihu.com/?target=http://baike.baidu.com/view/89764.htm" \t "https://www.zhihu.com/question/_blank"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竞争</w:t>
      </w:r>
      <w:r>
        <w:rPr>
          <w:rFonts w:hint="eastAsia" w:ascii="宋体" w:hAnsi="宋体" w:eastAsia="宋体" w:cs="宋体"/>
          <w:bCs/>
          <w:sz w:val="24"/>
          <w:szCs w:val="24"/>
        </w:rPr>
        <w:fldChar w:fldCharType="end"/>
      </w:r>
      <w:r>
        <w:rPr>
          <w:rFonts w:hint="eastAsia" w:ascii="宋体" w:hAnsi="宋体" w:eastAsia="宋体" w:cs="宋体"/>
          <w:bCs/>
          <w:sz w:val="24"/>
          <w:szCs w:val="24"/>
        </w:rPr>
        <w:t>，其投标应作</w:t>
      </w: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"https://link.zhihu.com/?target=http://baike.baidu.com/view/1281780.htm" \t "https://www.zhihu.com/question/_blank"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废标</w:t>
      </w:r>
      <w:r>
        <w:rPr>
          <w:rFonts w:hint="eastAsia" w:ascii="宋体" w:hAnsi="宋体" w:eastAsia="宋体" w:cs="宋体"/>
          <w:bCs/>
          <w:sz w:val="24"/>
          <w:szCs w:val="24"/>
        </w:rPr>
        <w:fldChar w:fldCharType="end"/>
      </w:r>
      <w:r>
        <w:rPr>
          <w:rFonts w:hint="eastAsia" w:ascii="宋体" w:hAnsi="宋体" w:eastAsia="宋体" w:cs="宋体"/>
          <w:bCs/>
          <w:sz w:val="24"/>
          <w:szCs w:val="24"/>
        </w:rPr>
        <w:t>处理。</w:t>
      </w:r>
    </w:p>
    <w:p>
      <w:pPr>
        <w:snapToGrid w:val="0"/>
        <w:spacing w:line="500" w:lineRule="exact"/>
        <w:ind w:firstLine="482" w:firstLineChars="20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二、政府采购政策功能落实</w:t>
      </w:r>
    </w:p>
    <w:p>
      <w:pPr>
        <w:snapToGrid w:val="0"/>
        <w:spacing w:line="5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1、小微型企业价格扣除</w:t>
      </w:r>
    </w:p>
    <w:p>
      <w:pPr>
        <w:snapToGrid w:val="0"/>
        <w:spacing w:line="500" w:lineRule="exact"/>
        <w:ind w:firstLine="480" w:firstLineChars="200"/>
        <w:rPr>
          <w:rFonts w:ascii="宋体" w:hAnsi="宋体" w:cs="宋体"/>
          <w:bCs/>
          <w:sz w:val="24"/>
          <w:szCs w:val="24"/>
        </w:rPr>
      </w:pPr>
      <w:r>
        <w:rPr>
          <w:rFonts w:hint="eastAsia" w:ascii="宋体" w:hAnsi="宋体" w:eastAsia="宋体" w:cs="宋体"/>
          <w:bCs/>
          <w:sz w:val="24"/>
          <w:szCs w:val="24"/>
        </w:rPr>
        <w:t>（1）本项目对小型和微</w:t>
      </w:r>
      <w:r>
        <w:rPr>
          <w:rFonts w:hint="eastAsia" w:ascii="宋体" w:hAnsi="宋体" w:cs="宋体"/>
          <w:bCs/>
          <w:sz w:val="24"/>
          <w:szCs w:val="24"/>
        </w:rPr>
        <w:t>型企业产品给予10%的扣除价格，用扣除后的价格参与评审。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（2）供应商需按照采购文件的要求提供相应的《企业声明函》。</w:t>
      </w:r>
    </w:p>
    <w:p>
      <w:pPr>
        <w:pStyle w:val="20"/>
        <w:spacing w:before="0" w:beforeAutospacing="0" w:after="0" w:afterAutospacing="0"/>
        <w:ind w:firstLine="480" w:firstLineChars="200"/>
        <w:rPr>
          <w:b/>
          <w:bCs/>
          <w:color w:val="00B0F0"/>
          <w:szCs w:val="24"/>
          <w:u w:val="single"/>
        </w:rPr>
      </w:pPr>
      <w:r>
        <w:rPr>
          <w:rFonts w:hint="eastAsia"/>
          <w:bCs/>
          <w:szCs w:val="24"/>
        </w:rPr>
        <w:t>（3）企业标准请参照《关于印发中小企业划型标准规定的通知》（工信部联企业[2011]300号）文件规定及国家统计局关于印发《统计上大中小微型企业划分办法（2017）》的通知自行填写。</w:t>
      </w:r>
      <w:r>
        <w:rPr>
          <w:rFonts w:hint="eastAsia"/>
          <w:b/>
          <w:szCs w:val="24"/>
        </w:rPr>
        <w:t>本采购标的的所属行业为软件和信息技术服务业</w:t>
      </w:r>
      <w:r>
        <w:rPr>
          <w:rFonts w:hint="eastAsia"/>
          <w:bCs/>
          <w:szCs w:val="24"/>
        </w:rPr>
        <w:t>，如未按要求填写，不得享受价格扣除。</w:t>
      </w:r>
    </w:p>
    <w:p>
      <w:pPr>
        <w:snapToGrid w:val="0"/>
        <w:spacing w:line="360" w:lineRule="auto"/>
        <w:ind w:firstLine="480" w:firstLineChars="200"/>
        <w:rPr>
          <w:rFonts w:ascii="宋体" w:hAnsi="宋体" w:cs="宋体"/>
          <w:sz w:val="24"/>
          <w:szCs w:val="24"/>
        </w:rPr>
      </w:pPr>
      <w:r>
        <w:rPr>
          <w:rFonts w:hint="eastAsia" w:ascii="宋体" w:hAnsi="宋体" w:cs="宋体"/>
          <w:bCs/>
          <w:sz w:val="24"/>
          <w:szCs w:val="24"/>
        </w:rPr>
        <w:t>（4）</w:t>
      </w:r>
      <w:r>
        <w:rPr>
          <w:rFonts w:hint="eastAsia" w:ascii="宋体" w:hAnsi="宋体" w:cs="宋体"/>
          <w:b/>
          <w:bCs/>
          <w:sz w:val="24"/>
          <w:szCs w:val="24"/>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3、监狱和戒毒企业价格扣除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4、残疾人福利单位、监狱企业属于小型、微型企业的，不重复享受政策。</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注意：（其中小型和微型企业、监狱企业最终投标价格均给予10%的扣除，并用扣除后的价格参与评审，参加政府采购活动的中小企业应当提供《中小企业声明函》，未填写中小企业声明函的在评审过程中不予认可）</w:t>
      </w:r>
    </w:p>
    <w:p>
      <w:pPr>
        <w:snapToGrid w:val="0"/>
        <w:spacing w:line="500" w:lineRule="exact"/>
        <w:ind w:firstLine="482" w:firstLineChars="200"/>
        <w:rPr>
          <w:rStyle w:val="47"/>
          <w:rFonts w:ascii="宋体" w:hAnsi="宋体" w:cs="宋体"/>
        </w:rPr>
      </w:pPr>
      <w:r>
        <w:rPr>
          <w:rStyle w:val="47"/>
          <w:rFonts w:hint="eastAsia" w:ascii="宋体" w:hAnsi="宋体" w:cs="宋体"/>
          <w:b/>
          <w:sz w:val="24"/>
          <w:szCs w:val="24"/>
        </w:rPr>
        <w:t>二、评标标准</w:t>
      </w:r>
    </w:p>
    <w:p>
      <w:pPr>
        <w:snapToGrid w:val="0"/>
        <w:spacing w:line="440" w:lineRule="exact"/>
        <w:ind w:firstLine="480" w:firstLineChars="200"/>
        <w:rPr>
          <w:rFonts w:ascii="宋体" w:hAnsi="宋体" w:cs="宋体"/>
          <w:sz w:val="24"/>
          <w:szCs w:val="24"/>
        </w:rPr>
      </w:pPr>
      <w:r>
        <w:rPr>
          <w:rFonts w:hint="eastAsia" w:ascii="宋体" w:hAnsi="宋体" w:cs="宋体"/>
          <w:snapToGrid w:val="0"/>
          <w:kern w:val="0"/>
          <w:sz w:val="24"/>
          <w:szCs w:val="24"/>
        </w:rPr>
        <w:t>本项目评分总分值为100分。</w:t>
      </w:r>
    </w:p>
    <w:tbl>
      <w:tblPr>
        <w:tblStyle w:val="22"/>
        <w:tblpPr w:leftFromText="180" w:rightFromText="180" w:vertAnchor="text" w:horzAnchor="page" w:tblpX="1620" w:tblpY="466"/>
        <w:tblOverlap w:val="never"/>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668"/>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7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w:t>
            </w:r>
          </w:p>
        </w:tc>
        <w:tc>
          <w:tcPr>
            <w:tcW w:w="666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评审标准</w:t>
            </w:r>
          </w:p>
        </w:tc>
        <w:tc>
          <w:tcPr>
            <w:tcW w:w="123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1271" w:type="dxa"/>
            <w:vAlign w:val="center"/>
          </w:tcPr>
          <w:p>
            <w:pPr>
              <w:jc w:val="center"/>
              <w:rPr>
                <w:rFonts w:hint="eastAsia" w:ascii="宋体" w:hAnsi="宋体" w:eastAsia="宋体" w:cs="宋体"/>
                <w:sz w:val="24"/>
                <w:szCs w:val="24"/>
                <w:lang w:val="zh-CN" w:bidi="zh-CN"/>
              </w:rPr>
            </w:pPr>
            <w:r>
              <w:rPr>
                <w:rFonts w:hint="eastAsia" w:ascii="宋体" w:hAnsi="宋体" w:eastAsia="宋体" w:cs="宋体"/>
                <w:sz w:val="24"/>
                <w:szCs w:val="24"/>
                <w:lang w:val="zh-CN" w:bidi="zh-CN"/>
              </w:rPr>
              <w:t>价格</w:t>
            </w:r>
          </w:p>
        </w:tc>
        <w:tc>
          <w:tcPr>
            <w:tcW w:w="6668" w:type="dxa"/>
            <w:vAlign w:val="center"/>
          </w:tcPr>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采用低价优先法计算，即满足采购文件要求且投标价格最低的投标报价为磋商基准价，其价格分为满分。其他供应商的价格分统一按照下列公式计算：</w:t>
            </w:r>
          </w:p>
          <w:p>
            <w:pPr>
              <w:rPr>
                <w:rFonts w:hint="eastAsia" w:ascii="宋体" w:hAnsi="宋体" w:eastAsia="宋体" w:cs="宋体"/>
                <w:sz w:val="24"/>
                <w:szCs w:val="24"/>
                <w:lang w:val="en-US" w:bidi="zh-CN"/>
              </w:rPr>
            </w:pPr>
            <w:r>
              <w:rPr>
                <w:rFonts w:hint="eastAsia" w:ascii="宋体" w:hAnsi="宋体" w:eastAsia="宋体" w:cs="宋体"/>
                <w:sz w:val="24"/>
                <w:szCs w:val="24"/>
                <w:lang w:bidi="zh-CN"/>
              </w:rPr>
              <w:t>投标</w:t>
            </w:r>
            <w:r>
              <w:rPr>
                <w:rFonts w:hint="eastAsia" w:ascii="宋体" w:hAnsi="宋体" w:eastAsia="宋体" w:cs="宋体"/>
                <w:sz w:val="24"/>
                <w:szCs w:val="24"/>
                <w:lang w:val="zh-CN" w:bidi="zh-CN"/>
              </w:rPr>
              <w:t>报价得分=(</w:t>
            </w:r>
            <w:r>
              <w:rPr>
                <w:rFonts w:hint="eastAsia" w:ascii="宋体" w:hAnsi="宋体" w:eastAsia="宋体" w:cs="宋体"/>
                <w:sz w:val="24"/>
                <w:szCs w:val="24"/>
                <w:lang w:bidi="zh-CN"/>
              </w:rPr>
              <w:t>投标</w:t>
            </w:r>
            <w:r>
              <w:rPr>
                <w:rFonts w:hint="eastAsia" w:ascii="宋体" w:hAnsi="宋体" w:eastAsia="宋体" w:cs="宋体"/>
                <w:sz w:val="24"/>
                <w:szCs w:val="24"/>
                <w:lang w:val="zh-CN" w:bidi="zh-CN"/>
              </w:rPr>
              <w:t>基准</w:t>
            </w:r>
            <w:r>
              <w:rPr>
                <w:rFonts w:hint="eastAsia" w:ascii="宋体" w:hAnsi="宋体" w:eastAsia="宋体" w:cs="宋体"/>
                <w:sz w:val="24"/>
                <w:szCs w:val="24"/>
                <w:lang w:bidi="zh-CN"/>
              </w:rPr>
              <w:t>价／最后投标报价)×</w:t>
            </w:r>
            <w:r>
              <w:rPr>
                <w:rFonts w:hint="eastAsia" w:ascii="宋体" w:hAnsi="宋体" w:eastAsia="宋体" w:cs="宋体"/>
                <w:sz w:val="24"/>
                <w:szCs w:val="24"/>
                <w:lang w:val="en-US" w:bidi="zh-CN"/>
              </w:rPr>
              <w:t>50</w:t>
            </w:r>
          </w:p>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注：评审小组认为供应商的报价明显低于其他通过符合性审查供应商的报价，供应商不能证明其报价合理性的，评审小组将其作为无效报价处理。</w:t>
            </w:r>
          </w:p>
        </w:tc>
        <w:tc>
          <w:tcPr>
            <w:tcW w:w="123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71" w:type="dxa"/>
            <w:vAlign w:val="center"/>
          </w:tcPr>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参数响应</w:t>
            </w:r>
          </w:p>
        </w:tc>
        <w:tc>
          <w:tcPr>
            <w:tcW w:w="6668" w:type="dxa"/>
            <w:vAlign w:val="center"/>
          </w:tcPr>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根据投标供应商对磋商文件服务要求响应程度，考察产品配置、技术参数。</w:t>
            </w:r>
          </w:p>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要求提供“▲”条款软件功能界面截图的偏离情况，完全满足或优于的得</w:t>
            </w:r>
            <w:r>
              <w:rPr>
                <w:rFonts w:hint="eastAsia" w:ascii="宋体" w:hAnsi="宋体" w:eastAsia="宋体" w:cs="宋体"/>
                <w:sz w:val="24"/>
                <w:szCs w:val="24"/>
                <w:lang w:val="en-US" w:bidi="zh-CN"/>
              </w:rPr>
              <w:t>15</w:t>
            </w:r>
            <w:r>
              <w:rPr>
                <w:rFonts w:hint="eastAsia" w:ascii="宋体" w:hAnsi="宋体" w:eastAsia="宋体" w:cs="宋体"/>
                <w:sz w:val="24"/>
                <w:szCs w:val="24"/>
                <w:lang w:val="zh-CN" w:bidi="zh-CN"/>
              </w:rPr>
              <w:t>分，“▲”条款负偏离的每个扣</w:t>
            </w:r>
            <w:r>
              <w:rPr>
                <w:rFonts w:hint="eastAsia" w:ascii="宋体" w:hAnsi="宋体" w:eastAsia="宋体" w:cs="宋体"/>
                <w:sz w:val="24"/>
                <w:szCs w:val="24"/>
                <w:lang w:val="en-US" w:bidi="zh-CN"/>
              </w:rPr>
              <w:t>3</w:t>
            </w:r>
            <w:r>
              <w:rPr>
                <w:rFonts w:hint="eastAsia" w:ascii="宋体" w:hAnsi="宋体" w:eastAsia="宋体" w:cs="宋体"/>
                <w:sz w:val="24"/>
                <w:szCs w:val="24"/>
                <w:lang w:val="zh-CN" w:bidi="zh-CN"/>
              </w:rPr>
              <w:t>分，</w:t>
            </w:r>
            <w:r>
              <w:rPr>
                <w:rFonts w:hint="eastAsia" w:ascii="宋体" w:hAnsi="宋体" w:eastAsia="宋体" w:cs="宋体"/>
                <w:sz w:val="24"/>
                <w:szCs w:val="24"/>
                <w:lang w:bidi="zh-CN"/>
              </w:rPr>
              <w:t>不带</w:t>
            </w:r>
            <w:r>
              <w:rPr>
                <w:rFonts w:hint="eastAsia" w:ascii="宋体" w:hAnsi="宋体" w:eastAsia="宋体" w:cs="宋体"/>
                <w:sz w:val="24"/>
                <w:szCs w:val="24"/>
                <w:lang w:val="zh-CN" w:bidi="zh-CN"/>
              </w:rPr>
              <w:t>“▲”条款负偏离的每个扣</w:t>
            </w:r>
            <w:r>
              <w:rPr>
                <w:rFonts w:hint="eastAsia" w:ascii="宋体" w:hAnsi="宋体" w:eastAsia="宋体" w:cs="宋体"/>
                <w:sz w:val="24"/>
                <w:szCs w:val="24"/>
                <w:lang w:bidi="zh-CN"/>
              </w:rPr>
              <w:t>1</w:t>
            </w:r>
            <w:r>
              <w:rPr>
                <w:rFonts w:hint="eastAsia" w:ascii="宋体" w:hAnsi="宋体" w:eastAsia="宋体" w:cs="宋体"/>
                <w:sz w:val="24"/>
                <w:szCs w:val="24"/>
                <w:lang w:val="zh-CN" w:bidi="zh-CN"/>
              </w:rPr>
              <w:t>分，扣完该项分数为止；（</w:t>
            </w:r>
            <w:r>
              <w:rPr>
                <w:rFonts w:hint="eastAsia" w:ascii="宋体" w:hAnsi="宋体" w:eastAsia="宋体" w:cs="宋体"/>
                <w:sz w:val="24"/>
                <w:szCs w:val="24"/>
                <w:lang w:bidi="zh-CN"/>
              </w:rPr>
              <w:t>带</w:t>
            </w:r>
            <w:r>
              <w:rPr>
                <w:rFonts w:hint="eastAsia" w:ascii="宋体" w:hAnsi="宋体" w:eastAsia="宋体" w:cs="宋体"/>
                <w:sz w:val="24"/>
                <w:szCs w:val="24"/>
                <w:lang w:val="zh-CN" w:bidi="zh-CN"/>
              </w:rPr>
              <w:t>“▲”条款提供软件功能界面截图，不提供或未完整提供佐证材料的不得分。）</w:t>
            </w:r>
          </w:p>
        </w:tc>
        <w:tc>
          <w:tcPr>
            <w:tcW w:w="1232"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71" w:type="dxa"/>
            <w:vAlign w:val="center"/>
          </w:tcPr>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现场演示</w:t>
            </w:r>
          </w:p>
        </w:tc>
        <w:tc>
          <w:tcPr>
            <w:tcW w:w="6668" w:type="dxa"/>
            <w:vAlign w:val="center"/>
          </w:tcPr>
          <w:p>
            <w:pPr>
              <w:jc w:val="left"/>
              <w:rPr>
                <w:rFonts w:hint="eastAsia" w:ascii="宋体" w:hAnsi="宋体" w:eastAsia="宋体" w:cs="宋体"/>
                <w:kern w:val="0"/>
                <w:sz w:val="24"/>
                <w:szCs w:val="24"/>
              </w:rPr>
            </w:pPr>
            <w:r>
              <w:rPr>
                <w:rFonts w:hint="eastAsia" w:ascii="宋体" w:hAnsi="宋体" w:eastAsia="宋体" w:cs="宋体"/>
                <w:kern w:val="0"/>
                <w:sz w:val="24"/>
                <w:szCs w:val="24"/>
              </w:rPr>
              <w:t>对技术参数里的标 “ ■”的内容进行逐条演示（演示时间不超过</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分钟）在满足采购人招标功能的前提下，评委根据演示情况进行综合判定。</w:t>
            </w:r>
          </w:p>
          <w:p>
            <w:pPr>
              <w:widowControl/>
              <w:rPr>
                <w:rFonts w:hint="eastAsia" w:ascii="宋体" w:hAnsi="宋体" w:eastAsia="宋体" w:cs="宋体"/>
                <w:kern w:val="0"/>
                <w:sz w:val="24"/>
                <w:szCs w:val="24"/>
              </w:rPr>
            </w:pPr>
            <w:r>
              <w:rPr>
                <w:rFonts w:hint="eastAsia" w:ascii="宋体" w:hAnsi="宋体" w:eastAsia="宋体" w:cs="宋体"/>
                <w:kern w:val="0"/>
                <w:sz w:val="24"/>
                <w:szCs w:val="24"/>
              </w:rPr>
              <w:t>以下完全满足或优于的得</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分，“■”条款负偏离的每个扣</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分，扣完该项分数为止；</w:t>
            </w:r>
          </w:p>
          <w:p>
            <w:pPr>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附：重要产品演示参数及标准（演示时间</w:t>
            </w:r>
            <w:r>
              <w:rPr>
                <w:rFonts w:hint="eastAsia" w:ascii="宋体" w:hAnsi="宋体" w:eastAsia="宋体" w:cs="宋体"/>
                <w:b/>
                <w:color w:val="000000"/>
                <w:sz w:val="24"/>
                <w:szCs w:val="24"/>
                <w:lang w:val="en-US" w:eastAsia="zh-CN"/>
              </w:rPr>
              <w:t>7</w:t>
            </w:r>
            <w:r>
              <w:rPr>
                <w:rFonts w:hint="eastAsia" w:ascii="宋体" w:hAnsi="宋体" w:eastAsia="宋体" w:cs="宋体"/>
                <w:b/>
                <w:color w:val="000000"/>
                <w:sz w:val="24"/>
                <w:szCs w:val="24"/>
              </w:rPr>
              <w:t>分钟）</w:t>
            </w:r>
          </w:p>
          <w:p>
            <w:pPr>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演示内容及要求说明： </w:t>
            </w:r>
          </w:p>
          <w:p>
            <w:pPr>
              <w:rPr>
                <w:rFonts w:hint="eastAsia" w:ascii="宋体" w:hAnsi="宋体" w:eastAsia="宋体" w:cs="宋体"/>
                <w:b/>
                <w:color w:val="000000"/>
                <w:sz w:val="24"/>
                <w:szCs w:val="24"/>
              </w:rPr>
            </w:pPr>
            <w:r>
              <w:rPr>
                <w:rFonts w:hint="eastAsia" w:ascii="宋体" w:hAnsi="宋体" w:eastAsia="宋体" w:cs="宋体"/>
                <w:b/>
                <w:color w:val="000000"/>
                <w:sz w:val="24"/>
                <w:szCs w:val="24"/>
              </w:rPr>
              <w:t>（1）现场演示的说明：</w:t>
            </w:r>
          </w:p>
          <w:p>
            <w:pPr>
              <w:rPr>
                <w:rFonts w:hint="eastAsia" w:ascii="宋体" w:hAnsi="宋体" w:eastAsia="宋体" w:cs="宋体"/>
                <w:b/>
                <w:color w:val="000000"/>
                <w:sz w:val="24"/>
                <w:szCs w:val="24"/>
              </w:rPr>
            </w:pPr>
            <w:r>
              <w:rPr>
                <w:rFonts w:hint="eastAsia" w:ascii="宋体" w:hAnsi="宋体" w:eastAsia="宋体" w:cs="宋体"/>
                <w:b/>
                <w:color w:val="000000"/>
                <w:sz w:val="24"/>
                <w:szCs w:val="24"/>
              </w:rPr>
              <w:t>演示内容见“采购项目技术要求”，演示时间限定在</w:t>
            </w:r>
            <w:r>
              <w:rPr>
                <w:rFonts w:hint="eastAsia" w:ascii="宋体" w:hAnsi="宋体" w:eastAsia="宋体" w:cs="宋体"/>
                <w:b/>
                <w:color w:val="000000"/>
                <w:sz w:val="24"/>
                <w:szCs w:val="24"/>
                <w:lang w:val="en-US" w:eastAsia="zh-CN"/>
              </w:rPr>
              <w:t>7</w:t>
            </w:r>
            <w:r>
              <w:rPr>
                <w:rFonts w:hint="eastAsia" w:ascii="宋体" w:hAnsi="宋体" w:eastAsia="宋体" w:cs="宋体"/>
                <w:b/>
                <w:color w:val="000000"/>
                <w:sz w:val="24"/>
                <w:szCs w:val="24"/>
              </w:rPr>
              <w:t>分钟内。本次现场演示</w:t>
            </w:r>
            <w:r>
              <w:rPr>
                <w:rFonts w:hint="eastAsia" w:ascii="宋体" w:hAnsi="宋体" w:eastAsia="宋体" w:cs="宋体"/>
                <w:b/>
                <w:color w:val="000000"/>
                <w:sz w:val="24"/>
                <w:szCs w:val="24"/>
                <w:lang w:eastAsia="zh-CN"/>
              </w:rPr>
              <w:t>投标供应商</w:t>
            </w:r>
            <w:r>
              <w:rPr>
                <w:rFonts w:hint="eastAsia" w:ascii="宋体" w:hAnsi="宋体" w:eastAsia="宋体" w:cs="宋体"/>
                <w:b/>
                <w:color w:val="000000"/>
                <w:sz w:val="24"/>
                <w:szCs w:val="24"/>
              </w:rPr>
              <w:t>须自备本次所使用的电脑及其他配套设备。</w:t>
            </w:r>
          </w:p>
          <w:p>
            <w:pPr>
              <w:rPr>
                <w:rFonts w:hint="eastAsia" w:ascii="宋体" w:hAnsi="宋体" w:eastAsia="宋体" w:cs="宋体"/>
                <w:b/>
                <w:color w:val="000000"/>
                <w:sz w:val="24"/>
                <w:szCs w:val="24"/>
              </w:rPr>
            </w:pPr>
            <w:r>
              <w:rPr>
                <w:rFonts w:hint="eastAsia" w:ascii="宋体" w:hAnsi="宋体" w:eastAsia="宋体" w:cs="宋体"/>
                <w:b/>
                <w:color w:val="000000"/>
                <w:sz w:val="24"/>
                <w:szCs w:val="24"/>
              </w:rPr>
              <w:t>（2）现场演示注意事项：</w:t>
            </w:r>
          </w:p>
          <w:p>
            <w:pPr>
              <w:rPr>
                <w:rFonts w:hint="eastAsia" w:ascii="宋体" w:hAnsi="宋体" w:eastAsia="宋体" w:cs="宋体"/>
                <w:b/>
                <w:color w:val="000000"/>
                <w:sz w:val="24"/>
                <w:szCs w:val="24"/>
              </w:rPr>
            </w:pPr>
            <w:r>
              <w:rPr>
                <w:rFonts w:hint="eastAsia" w:ascii="宋体" w:hAnsi="宋体" w:eastAsia="宋体" w:cs="宋体"/>
                <w:b/>
                <w:color w:val="000000"/>
                <w:sz w:val="24"/>
                <w:szCs w:val="24"/>
              </w:rPr>
              <w:t>1、</w:t>
            </w:r>
            <w:r>
              <w:rPr>
                <w:rFonts w:hint="eastAsia" w:ascii="宋体" w:hAnsi="宋体" w:eastAsia="宋体" w:cs="宋体"/>
                <w:b/>
                <w:color w:val="000000"/>
                <w:sz w:val="24"/>
                <w:szCs w:val="24"/>
                <w:lang w:eastAsia="zh-CN"/>
              </w:rPr>
              <w:t>投标供应商</w:t>
            </w:r>
            <w:r>
              <w:rPr>
                <w:rFonts w:hint="eastAsia" w:ascii="宋体" w:hAnsi="宋体" w:eastAsia="宋体" w:cs="宋体"/>
                <w:b/>
                <w:color w:val="000000"/>
                <w:sz w:val="24"/>
                <w:szCs w:val="24"/>
              </w:rPr>
              <w:t>演示的内容不得与本项目采购内容无关。</w:t>
            </w:r>
          </w:p>
          <w:p>
            <w:pPr>
              <w:rPr>
                <w:rFonts w:hint="eastAsia" w:ascii="宋体" w:hAnsi="宋体" w:eastAsia="宋体" w:cs="宋体"/>
                <w:b/>
                <w:color w:val="000000"/>
                <w:sz w:val="24"/>
                <w:szCs w:val="24"/>
              </w:rPr>
            </w:pPr>
            <w:r>
              <w:rPr>
                <w:rFonts w:hint="eastAsia" w:ascii="宋体" w:hAnsi="宋体" w:eastAsia="宋体" w:cs="宋体"/>
                <w:b/>
                <w:color w:val="000000"/>
                <w:sz w:val="24"/>
                <w:szCs w:val="24"/>
              </w:rPr>
              <w:t>2、在演示过程中，</w:t>
            </w:r>
            <w:r>
              <w:rPr>
                <w:rFonts w:hint="eastAsia" w:ascii="宋体" w:hAnsi="宋体" w:eastAsia="宋体" w:cs="宋体"/>
                <w:b/>
                <w:color w:val="000000"/>
                <w:sz w:val="24"/>
                <w:szCs w:val="24"/>
                <w:lang w:eastAsia="zh-CN"/>
              </w:rPr>
              <w:t>投标供应商</w:t>
            </w:r>
            <w:r>
              <w:rPr>
                <w:rFonts w:hint="eastAsia" w:ascii="宋体" w:hAnsi="宋体" w:eastAsia="宋体" w:cs="宋体"/>
                <w:b/>
                <w:color w:val="000000"/>
                <w:sz w:val="24"/>
                <w:szCs w:val="24"/>
              </w:rPr>
              <w:t>不能补充提交响应文件以外的资料，评审小组不接收任何响应文件以外的资料。</w:t>
            </w:r>
          </w:p>
          <w:p>
            <w:pPr>
              <w:rPr>
                <w:rFonts w:hint="eastAsia" w:ascii="宋体" w:hAnsi="宋体" w:eastAsia="宋体" w:cs="宋体"/>
                <w:sz w:val="24"/>
                <w:szCs w:val="24"/>
              </w:rPr>
            </w:pPr>
            <w:r>
              <w:rPr>
                <w:rFonts w:hint="eastAsia" w:ascii="宋体" w:hAnsi="宋体" w:eastAsia="宋体" w:cs="宋体"/>
                <w:b/>
                <w:color w:val="000000"/>
                <w:sz w:val="24"/>
                <w:szCs w:val="24"/>
              </w:rPr>
              <w:t>3、在演示过程中，评审小组不对</w:t>
            </w:r>
            <w:r>
              <w:rPr>
                <w:rFonts w:hint="eastAsia" w:ascii="宋体" w:hAnsi="宋体" w:eastAsia="宋体" w:cs="宋体"/>
                <w:b/>
                <w:color w:val="000000"/>
                <w:sz w:val="24"/>
                <w:szCs w:val="24"/>
                <w:lang w:eastAsia="zh-CN"/>
              </w:rPr>
              <w:t>投标供应商</w:t>
            </w:r>
            <w:r>
              <w:rPr>
                <w:rFonts w:hint="eastAsia" w:ascii="宋体" w:hAnsi="宋体" w:eastAsia="宋体" w:cs="宋体"/>
                <w:b/>
                <w:color w:val="000000"/>
                <w:sz w:val="24"/>
                <w:szCs w:val="24"/>
              </w:rPr>
              <w:t>的提问进行任何回答或解释说明，但可对</w:t>
            </w:r>
            <w:r>
              <w:rPr>
                <w:rFonts w:hint="eastAsia" w:ascii="宋体" w:hAnsi="宋体" w:eastAsia="宋体" w:cs="宋体"/>
                <w:b/>
                <w:color w:val="000000"/>
                <w:sz w:val="24"/>
                <w:szCs w:val="24"/>
                <w:lang w:eastAsia="zh-CN"/>
              </w:rPr>
              <w:t>投标供应商</w:t>
            </w:r>
            <w:r>
              <w:rPr>
                <w:rFonts w:hint="eastAsia" w:ascii="宋体" w:hAnsi="宋体" w:eastAsia="宋体" w:cs="宋体"/>
                <w:b/>
                <w:color w:val="000000"/>
                <w:sz w:val="24"/>
                <w:szCs w:val="24"/>
              </w:rPr>
              <w:t>提出演示要求或要求解释相关问题。</w:t>
            </w:r>
          </w:p>
        </w:tc>
        <w:tc>
          <w:tcPr>
            <w:tcW w:w="1232"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71" w:type="dxa"/>
            <w:vMerge w:val="restart"/>
            <w:vAlign w:val="center"/>
          </w:tcPr>
          <w:p>
            <w:pPr>
              <w:rPr>
                <w:rFonts w:hint="eastAsia" w:ascii="宋体" w:hAnsi="宋体" w:eastAsia="宋体" w:cs="宋体"/>
                <w:sz w:val="24"/>
                <w:szCs w:val="24"/>
                <w:lang w:bidi="zh-CN"/>
              </w:rPr>
            </w:pPr>
            <w:r>
              <w:rPr>
                <w:rFonts w:hint="eastAsia" w:ascii="宋体" w:hAnsi="宋体" w:eastAsia="宋体" w:cs="宋体"/>
                <w:sz w:val="24"/>
                <w:szCs w:val="24"/>
                <w:lang w:bidi="zh-CN"/>
              </w:rPr>
              <w:t>企业实力</w:t>
            </w:r>
          </w:p>
        </w:tc>
        <w:tc>
          <w:tcPr>
            <w:tcW w:w="6668" w:type="dxa"/>
          </w:tcPr>
          <w:p>
            <w:pPr>
              <w:pStyle w:val="171"/>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投标供应商具有出版教材的能力或者与具有出版教材的能力出版社有合作协议，</w:t>
            </w:r>
            <w:r>
              <w:rPr>
                <w:rFonts w:hint="eastAsia" w:ascii="宋体" w:hAnsi="宋体" w:eastAsia="宋体" w:cs="宋体"/>
                <w:sz w:val="24"/>
                <w:szCs w:val="24"/>
              </w:rPr>
              <w:t>提供一个得</w:t>
            </w:r>
            <w:r>
              <w:rPr>
                <w:rFonts w:hint="eastAsia" w:ascii="宋体" w:hAnsi="宋体" w:eastAsia="宋体" w:cs="宋体"/>
                <w:sz w:val="24"/>
                <w:szCs w:val="24"/>
                <w:lang w:val="en-US" w:eastAsia="zh-CN"/>
              </w:rPr>
              <w:t>1</w:t>
            </w:r>
            <w:r>
              <w:rPr>
                <w:rFonts w:hint="eastAsia" w:ascii="宋体" w:hAnsi="宋体" w:eastAsia="宋体" w:cs="宋体"/>
                <w:sz w:val="24"/>
                <w:szCs w:val="24"/>
              </w:rPr>
              <w:t>分，最高得</w:t>
            </w:r>
            <w:r>
              <w:rPr>
                <w:rFonts w:hint="eastAsia" w:ascii="宋体" w:hAnsi="宋体" w:eastAsia="宋体" w:cs="宋体"/>
                <w:sz w:val="24"/>
                <w:szCs w:val="24"/>
                <w:lang w:val="en-US" w:eastAsia="zh-CN"/>
              </w:rPr>
              <w:t>3</w:t>
            </w:r>
            <w:r>
              <w:rPr>
                <w:rFonts w:hint="eastAsia" w:ascii="宋体" w:hAnsi="宋体" w:eastAsia="宋体" w:cs="宋体"/>
                <w:sz w:val="24"/>
                <w:szCs w:val="24"/>
              </w:rPr>
              <w:t>分。（提供证明材料或合作协议复印件加盖公章，否则不得分）</w:t>
            </w:r>
          </w:p>
        </w:tc>
        <w:tc>
          <w:tcPr>
            <w:tcW w:w="1232"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71" w:type="dxa"/>
            <w:vMerge w:val="continue"/>
            <w:vAlign w:val="center"/>
          </w:tcPr>
          <w:p>
            <w:pPr>
              <w:rPr>
                <w:rFonts w:hint="eastAsia" w:ascii="宋体" w:hAnsi="宋体" w:eastAsia="宋体" w:cs="宋体"/>
                <w:sz w:val="24"/>
                <w:szCs w:val="24"/>
                <w:lang w:val="zh-CN" w:bidi="zh-CN"/>
              </w:rPr>
            </w:pPr>
          </w:p>
        </w:tc>
        <w:tc>
          <w:tcPr>
            <w:tcW w:w="6668" w:type="dxa"/>
          </w:tcPr>
          <w:p>
            <w:pPr>
              <w:pStyle w:val="17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2020年1月1日以来</w:t>
            </w:r>
            <w:r>
              <w:rPr>
                <w:rFonts w:hint="eastAsia" w:ascii="宋体" w:hAnsi="宋体" w:eastAsia="宋体" w:cs="宋体"/>
                <w:color w:val="000000" w:themeColor="text1"/>
                <w:kern w:val="0"/>
                <w:sz w:val="24"/>
                <w:szCs w:val="24"/>
                <w14:textFill>
                  <w14:solidFill>
                    <w14:schemeClr w14:val="tx1"/>
                  </w14:solidFill>
                </w14:textFill>
              </w:rPr>
              <w:t>投标供应商作为国家级</w:t>
            </w:r>
            <w:r>
              <w:rPr>
                <w:rFonts w:hint="eastAsia" w:ascii="宋体" w:hAnsi="宋体" w:eastAsia="宋体" w:cs="宋体"/>
                <w:color w:val="000000" w:themeColor="text1"/>
                <w:kern w:val="0"/>
                <w:sz w:val="24"/>
                <w:szCs w:val="24"/>
                <w:lang w:val="en-US" w:eastAsia="zh-CN"/>
                <w14:textFill>
                  <w14:solidFill>
                    <w14:schemeClr w14:val="tx1"/>
                  </w14:solidFill>
                </w14:textFill>
              </w:rPr>
              <w:t>或者省级</w:t>
            </w:r>
            <w:r>
              <w:rPr>
                <w:rFonts w:hint="eastAsia" w:ascii="宋体" w:hAnsi="宋体" w:eastAsia="宋体" w:cs="宋体"/>
                <w:color w:val="000000" w:themeColor="text1"/>
                <w:kern w:val="0"/>
                <w:sz w:val="24"/>
                <w:szCs w:val="24"/>
                <w14:textFill>
                  <w14:solidFill>
                    <w14:schemeClr w14:val="tx1"/>
                  </w14:solidFill>
                </w14:textFill>
              </w:rPr>
              <w:t>赛事技术支持单位的，每提供一个证明文件得</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最高得</w:t>
            </w: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分。</w:t>
            </w:r>
          </w:p>
          <w:p>
            <w:pPr>
              <w:pStyle w:val="171"/>
              <w:rPr>
                <w:rFonts w:hint="eastAsia" w:ascii="宋体" w:hAnsi="宋体" w:eastAsia="宋体" w:cs="宋体"/>
                <w:color w:val="auto"/>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（提供证明材料复印件加盖</w:t>
            </w:r>
            <w:r>
              <w:rPr>
                <w:rFonts w:hint="eastAsia" w:ascii="宋体" w:hAnsi="宋体" w:eastAsia="宋体" w:cs="宋体"/>
                <w:color w:val="000000" w:themeColor="text1"/>
                <w:kern w:val="0"/>
                <w:sz w:val="24"/>
                <w:szCs w:val="24"/>
                <w:lang w:val="en-US" w:eastAsia="zh-CN"/>
                <w14:textFill>
                  <w14:solidFill>
                    <w14:schemeClr w14:val="tx1"/>
                  </w14:solidFill>
                </w14:textFill>
              </w:rPr>
              <w:t>投标单位</w:t>
            </w:r>
            <w:r>
              <w:rPr>
                <w:rFonts w:hint="eastAsia" w:ascii="宋体" w:hAnsi="宋体" w:eastAsia="宋体" w:cs="宋体"/>
                <w:color w:val="000000" w:themeColor="text1"/>
                <w:kern w:val="0"/>
                <w:sz w:val="24"/>
                <w:szCs w:val="24"/>
                <w14:textFill>
                  <w14:solidFill>
                    <w14:schemeClr w14:val="tx1"/>
                  </w14:solidFill>
                </w14:textFill>
              </w:rPr>
              <w:t>公章，否则不得分。）</w:t>
            </w:r>
          </w:p>
        </w:tc>
        <w:tc>
          <w:tcPr>
            <w:tcW w:w="1232"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71" w:type="dxa"/>
            <w:vMerge w:val="continue"/>
            <w:vAlign w:val="center"/>
          </w:tcPr>
          <w:p>
            <w:pPr>
              <w:rPr>
                <w:rFonts w:hint="eastAsia" w:ascii="宋体" w:hAnsi="宋体" w:eastAsia="宋体" w:cs="宋体"/>
                <w:sz w:val="24"/>
                <w:szCs w:val="24"/>
                <w:lang w:val="zh-CN" w:bidi="zh-CN"/>
              </w:rPr>
            </w:pPr>
          </w:p>
        </w:tc>
        <w:tc>
          <w:tcPr>
            <w:tcW w:w="6668" w:type="dxa"/>
            <w:vAlign w:val="center"/>
          </w:tcPr>
          <w:p>
            <w:pPr>
              <w:pStyle w:val="9"/>
              <w:spacing w:line="400" w:lineRule="exact"/>
              <w:ind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投标供应商提供本次投标相关的系统软件著作权证书的，每提供一份得1分，最高得3分。</w:t>
            </w:r>
          </w:p>
          <w:p>
            <w:pPr>
              <w:pStyle w:val="9"/>
              <w:spacing w:line="400" w:lineRule="exact"/>
              <w:ind w:firstLine="0" w:firstLineChars="0"/>
              <w:jc w:val="both"/>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（提供证书复印件加盖投标单位公章，否则不得分）</w:t>
            </w:r>
          </w:p>
        </w:tc>
        <w:tc>
          <w:tcPr>
            <w:tcW w:w="1232"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271" w:type="dxa"/>
            <w:vMerge w:val="restart"/>
            <w:vAlign w:val="center"/>
          </w:tcPr>
          <w:p>
            <w:pPr>
              <w:rPr>
                <w:rFonts w:hint="eastAsia" w:ascii="宋体" w:hAnsi="宋体" w:eastAsia="宋体" w:cs="宋体"/>
                <w:sz w:val="24"/>
                <w:szCs w:val="24"/>
                <w:lang w:bidi="zh-CN"/>
              </w:rPr>
            </w:pPr>
            <w:r>
              <w:rPr>
                <w:rFonts w:hint="eastAsia" w:ascii="宋体" w:hAnsi="宋体" w:eastAsia="宋体" w:cs="宋体"/>
                <w:sz w:val="24"/>
                <w:szCs w:val="24"/>
                <w:lang w:bidi="zh-CN"/>
              </w:rPr>
              <w:t>能力与业绩</w:t>
            </w:r>
          </w:p>
        </w:tc>
        <w:tc>
          <w:tcPr>
            <w:tcW w:w="6668" w:type="dxa"/>
            <w:vAlign w:val="center"/>
          </w:tcPr>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Hans" w:bidi="ar-SA"/>
              </w:rPr>
              <w:t>投标供应商具有有效期内的质量管理体系认证证书、环境管理体系认证证书、职业健康安全管理体系认证</w:t>
            </w:r>
            <w:r>
              <w:rPr>
                <w:rFonts w:hint="eastAsia" w:ascii="宋体" w:hAnsi="宋体" w:eastAsia="宋体" w:cs="宋体"/>
                <w:color w:val="auto"/>
                <w:kern w:val="0"/>
                <w:sz w:val="24"/>
                <w:szCs w:val="24"/>
                <w:lang w:val="zh-CN" w:eastAsia="zh-CN" w:bidi="ar-SA"/>
              </w:rPr>
              <w:t>证书，每提供一个得</w:t>
            </w:r>
            <w:r>
              <w:rPr>
                <w:rFonts w:hint="eastAsia" w:ascii="宋体" w:hAnsi="宋体" w:eastAsia="宋体" w:cs="宋体"/>
                <w:color w:val="auto"/>
                <w:kern w:val="0"/>
                <w:sz w:val="24"/>
                <w:szCs w:val="24"/>
                <w:lang w:val="en-US" w:eastAsia="zh-CN" w:bidi="ar-SA"/>
              </w:rPr>
              <w:t>1</w:t>
            </w:r>
            <w:r>
              <w:rPr>
                <w:rFonts w:hint="eastAsia" w:ascii="宋体" w:hAnsi="宋体" w:eastAsia="宋体" w:cs="宋体"/>
                <w:color w:val="auto"/>
                <w:kern w:val="0"/>
                <w:sz w:val="24"/>
                <w:szCs w:val="24"/>
                <w:lang w:val="zh-CN" w:eastAsia="zh-CN" w:bidi="ar-SA"/>
              </w:rPr>
              <w:t>分，最高得</w:t>
            </w:r>
            <w:r>
              <w:rPr>
                <w:rFonts w:hint="eastAsia" w:ascii="宋体" w:hAnsi="宋体" w:eastAsia="宋体" w:cs="宋体"/>
                <w:color w:val="auto"/>
                <w:kern w:val="0"/>
                <w:sz w:val="24"/>
                <w:szCs w:val="24"/>
                <w:lang w:val="en-US" w:eastAsia="zh-CN" w:bidi="ar-SA"/>
              </w:rPr>
              <w:t>3</w:t>
            </w:r>
            <w:r>
              <w:rPr>
                <w:rFonts w:hint="eastAsia" w:ascii="宋体" w:hAnsi="宋体" w:eastAsia="宋体" w:cs="宋体"/>
                <w:color w:val="auto"/>
                <w:kern w:val="0"/>
                <w:sz w:val="24"/>
                <w:szCs w:val="24"/>
                <w:lang w:val="zh-CN" w:eastAsia="zh-CN" w:bidi="ar-SA"/>
              </w:rPr>
              <w:t>分。</w:t>
            </w:r>
          </w:p>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（提供证书复印件加盖</w:t>
            </w:r>
            <w:r>
              <w:rPr>
                <w:rFonts w:hint="eastAsia" w:ascii="宋体" w:hAnsi="宋体" w:eastAsia="宋体" w:cs="宋体"/>
                <w:color w:val="auto"/>
                <w:kern w:val="0"/>
                <w:sz w:val="24"/>
                <w:szCs w:val="24"/>
                <w:lang w:val="en-US" w:eastAsia="zh-CN" w:bidi="ar-SA"/>
              </w:rPr>
              <w:t>投标单位</w:t>
            </w:r>
            <w:r>
              <w:rPr>
                <w:rFonts w:hint="eastAsia" w:ascii="宋体" w:hAnsi="宋体" w:eastAsia="宋体" w:cs="宋体"/>
                <w:color w:val="auto"/>
                <w:kern w:val="0"/>
                <w:sz w:val="24"/>
                <w:szCs w:val="24"/>
                <w:lang w:val="zh-CN" w:eastAsia="zh-CN" w:bidi="ar-SA"/>
              </w:rPr>
              <w:t>公章，否则不得分。）</w:t>
            </w:r>
          </w:p>
        </w:tc>
        <w:tc>
          <w:tcPr>
            <w:tcW w:w="1232"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271" w:type="dxa"/>
            <w:vMerge w:val="continue"/>
            <w:vAlign w:val="center"/>
          </w:tcPr>
          <w:p>
            <w:pPr>
              <w:rPr>
                <w:rFonts w:hint="eastAsia" w:ascii="宋体" w:hAnsi="宋体" w:eastAsia="宋体" w:cs="宋体"/>
                <w:sz w:val="24"/>
                <w:szCs w:val="24"/>
                <w:lang w:val="zh-CN" w:bidi="zh-CN"/>
              </w:rPr>
            </w:pPr>
          </w:p>
        </w:tc>
        <w:tc>
          <w:tcPr>
            <w:tcW w:w="6668" w:type="dxa"/>
            <w:vAlign w:val="center"/>
          </w:tcPr>
          <w:p>
            <w:pP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投标供应商提供2020年1月1日（合同签订时间为准）以来已实施完成并签订的成功案例，提供1个得1分，最高得4分。</w:t>
            </w:r>
          </w:p>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en-US" w:eastAsia="zh-CN" w:bidi="ar-SA"/>
              </w:rPr>
              <w:t>（提供合同关键页复印件和验收报告并加盖投标单位公章）</w:t>
            </w:r>
          </w:p>
        </w:tc>
        <w:tc>
          <w:tcPr>
            <w:tcW w:w="1232"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1" w:type="dxa"/>
            <w:vAlign w:val="center"/>
          </w:tcPr>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实施方案</w:t>
            </w:r>
          </w:p>
        </w:tc>
        <w:tc>
          <w:tcPr>
            <w:tcW w:w="6668" w:type="dxa"/>
            <w:vAlign w:val="center"/>
          </w:tcPr>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根据投标供应商提供的本项目实施方案进行评分：</w:t>
            </w:r>
          </w:p>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1、实施方案内容详实合理、贴切实际、实用性强的得</w:t>
            </w:r>
            <w:r>
              <w:rPr>
                <w:rFonts w:hint="eastAsia" w:ascii="宋体" w:hAnsi="宋体" w:eastAsia="宋体" w:cs="宋体"/>
                <w:color w:val="auto"/>
                <w:kern w:val="0"/>
                <w:sz w:val="24"/>
                <w:szCs w:val="24"/>
                <w:lang w:val="en-US" w:eastAsia="zh-CN" w:bidi="ar-SA"/>
              </w:rPr>
              <w:t>3</w:t>
            </w:r>
            <w:r>
              <w:rPr>
                <w:rFonts w:hint="eastAsia" w:ascii="宋体" w:hAnsi="宋体" w:eastAsia="宋体" w:cs="宋体"/>
                <w:color w:val="auto"/>
                <w:kern w:val="0"/>
                <w:sz w:val="24"/>
                <w:szCs w:val="24"/>
                <w:lang w:val="zh-CN" w:eastAsia="zh-CN" w:bidi="ar-SA"/>
              </w:rPr>
              <w:t>分；</w:t>
            </w:r>
          </w:p>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2、实施方案内容较较详实，较贴切、实用性较强的得</w:t>
            </w:r>
            <w:r>
              <w:rPr>
                <w:rFonts w:hint="eastAsia" w:ascii="宋体" w:hAnsi="宋体" w:eastAsia="宋体" w:cs="宋体"/>
                <w:color w:val="auto"/>
                <w:kern w:val="0"/>
                <w:sz w:val="24"/>
                <w:szCs w:val="24"/>
                <w:lang w:val="en-US" w:eastAsia="zh-CN" w:bidi="ar-SA"/>
              </w:rPr>
              <w:t>2</w:t>
            </w:r>
            <w:r>
              <w:rPr>
                <w:rFonts w:hint="eastAsia" w:ascii="宋体" w:hAnsi="宋体" w:eastAsia="宋体" w:cs="宋体"/>
                <w:color w:val="auto"/>
                <w:kern w:val="0"/>
                <w:sz w:val="24"/>
                <w:szCs w:val="24"/>
                <w:lang w:val="zh-CN" w:eastAsia="zh-CN" w:bidi="ar-SA"/>
              </w:rPr>
              <w:t>分；</w:t>
            </w:r>
          </w:p>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3、实施方案内容不够全面的得1分。</w:t>
            </w:r>
          </w:p>
        </w:tc>
        <w:tc>
          <w:tcPr>
            <w:tcW w:w="1232" w:type="dxa"/>
            <w:vAlign w:val="center"/>
          </w:tcPr>
          <w:p>
            <w:pPr>
              <w:jc w:val="center"/>
              <w:rPr>
                <w:rFonts w:hint="eastAsia" w:ascii="宋体" w:hAnsi="宋体" w:eastAsia="宋体" w:cs="宋体"/>
                <w:sz w:val="24"/>
                <w:szCs w:val="24"/>
                <w:lang w:eastAsia="zh-CN"/>
              </w:rPr>
            </w:pPr>
            <w:r>
              <w:rPr>
                <w:rFonts w:hint="eastAsia" w:ascii="宋体" w:hAnsi="宋体" w:eastAsia="宋体" w:cs="宋体"/>
                <w:bCs/>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1" w:type="dxa"/>
            <w:vAlign w:val="center"/>
          </w:tcPr>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培训效果</w:t>
            </w:r>
          </w:p>
        </w:tc>
        <w:tc>
          <w:tcPr>
            <w:tcW w:w="6668" w:type="dxa"/>
            <w:vAlign w:val="center"/>
          </w:tcPr>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对投标供应商的培训计划进行评审：是否清晰、目标是否明确等。</w:t>
            </w:r>
          </w:p>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1、培训计划条理非常清晰，目标非常明确，知识点全面性很强，培训讲师实力强的，得</w:t>
            </w:r>
            <w:r>
              <w:rPr>
                <w:rFonts w:hint="eastAsia" w:ascii="宋体" w:hAnsi="宋体" w:eastAsia="宋体" w:cs="宋体"/>
                <w:color w:val="auto"/>
                <w:kern w:val="0"/>
                <w:sz w:val="24"/>
                <w:szCs w:val="24"/>
                <w:lang w:val="en-US" w:eastAsia="zh-CN" w:bidi="ar-SA"/>
              </w:rPr>
              <w:t>3</w:t>
            </w:r>
            <w:r>
              <w:rPr>
                <w:rFonts w:hint="eastAsia" w:ascii="宋体" w:hAnsi="宋体" w:eastAsia="宋体" w:cs="宋体"/>
                <w:color w:val="auto"/>
                <w:kern w:val="0"/>
                <w:sz w:val="24"/>
                <w:szCs w:val="24"/>
                <w:lang w:val="zh-CN" w:eastAsia="zh-CN" w:bidi="ar-SA"/>
              </w:rPr>
              <w:t>分；</w:t>
            </w:r>
          </w:p>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2、培训计划条理比较清晰，目标比较明确，知识点全面性较强，培训讲师实力较强的，得</w:t>
            </w:r>
            <w:r>
              <w:rPr>
                <w:rFonts w:hint="eastAsia" w:ascii="宋体" w:hAnsi="宋体" w:eastAsia="宋体" w:cs="宋体"/>
                <w:color w:val="auto"/>
                <w:kern w:val="0"/>
                <w:sz w:val="24"/>
                <w:szCs w:val="24"/>
                <w:lang w:val="en-US" w:eastAsia="zh-CN" w:bidi="ar-SA"/>
              </w:rPr>
              <w:t>2</w:t>
            </w:r>
            <w:r>
              <w:rPr>
                <w:rFonts w:hint="eastAsia" w:ascii="宋体" w:hAnsi="宋体" w:eastAsia="宋体" w:cs="宋体"/>
                <w:color w:val="auto"/>
                <w:kern w:val="0"/>
                <w:sz w:val="24"/>
                <w:szCs w:val="24"/>
                <w:lang w:val="zh-CN" w:eastAsia="zh-CN" w:bidi="ar-SA"/>
              </w:rPr>
              <w:t>分；</w:t>
            </w:r>
          </w:p>
          <w:p>
            <w:pPr>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3、培训计划条理不清晰，目标不明确，知识点全面性较差，培训讲师实力较差的，得1分。</w:t>
            </w:r>
          </w:p>
        </w:tc>
        <w:tc>
          <w:tcPr>
            <w:tcW w:w="1232"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71" w:type="dxa"/>
            <w:vAlign w:val="center"/>
          </w:tcPr>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售后保障</w:t>
            </w:r>
          </w:p>
        </w:tc>
        <w:tc>
          <w:tcPr>
            <w:tcW w:w="6668" w:type="dxa"/>
            <w:vAlign w:val="center"/>
          </w:tcPr>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根据投标供应商提供的售后服务方案（如服务体系、服务内容、问题解决方案、专业技术人员保障及服务电话等）进行综合评分：</w:t>
            </w:r>
          </w:p>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（1）</w:t>
            </w:r>
            <w:r>
              <w:rPr>
                <w:rFonts w:hint="eastAsia" w:ascii="宋体" w:hAnsi="宋体" w:eastAsia="宋体" w:cs="宋体"/>
                <w:sz w:val="24"/>
                <w:szCs w:val="24"/>
                <w:lang w:val="en-US" w:bidi="zh-CN"/>
              </w:rPr>
              <w:t>投标</w:t>
            </w:r>
            <w:r>
              <w:rPr>
                <w:rFonts w:hint="eastAsia" w:ascii="宋体" w:hAnsi="宋体" w:eastAsia="宋体" w:cs="宋体"/>
                <w:sz w:val="24"/>
                <w:szCs w:val="24"/>
                <w:lang w:val="zh-CN" w:bidi="zh-CN"/>
              </w:rPr>
              <w:t>供应商具备非常完善的服务体系，全面的服务内容、可行的问题解决方案、可靠的专业技术人员保障和服务电话的，得</w:t>
            </w:r>
            <w:r>
              <w:rPr>
                <w:rFonts w:hint="eastAsia" w:ascii="宋体" w:hAnsi="宋体" w:eastAsia="宋体" w:cs="宋体"/>
                <w:sz w:val="24"/>
                <w:szCs w:val="24"/>
                <w:lang w:val="en-US" w:bidi="zh-CN"/>
              </w:rPr>
              <w:t>3</w:t>
            </w:r>
            <w:r>
              <w:rPr>
                <w:rFonts w:hint="eastAsia" w:ascii="宋体" w:hAnsi="宋体" w:eastAsia="宋体" w:cs="宋体"/>
                <w:sz w:val="24"/>
                <w:szCs w:val="24"/>
                <w:lang w:val="zh-CN" w:bidi="zh-CN"/>
              </w:rPr>
              <w:t>分；</w:t>
            </w:r>
          </w:p>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（2）</w:t>
            </w:r>
            <w:r>
              <w:rPr>
                <w:rFonts w:hint="eastAsia" w:ascii="宋体" w:hAnsi="宋体" w:eastAsia="宋体" w:cs="宋体"/>
                <w:sz w:val="24"/>
                <w:szCs w:val="24"/>
                <w:lang w:val="en-US" w:bidi="zh-CN"/>
              </w:rPr>
              <w:t>投标</w:t>
            </w:r>
            <w:r>
              <w:rPr>
                <w:rFonts w:hint="eastAsia" w:ascii="宋体" w:hAnsi="宋体" w:eastAsia="宋体" w:cs="宋体"/>
                <w:sz w:val="24"/>
                <w:szCs w:val="24"/>
                <w:lang w:val="zh-CN" w:bidi="zh-CN"/>
              </w:rPr>
              <w:t>供应商具备较为完善的服务体系，全面的服务内容、可行的问题解决方案、可靠的专业技术人员保障和服务电话的，得</w:t>
            </w:r>
            <w:r>
              <w:rPr>
                <w:rFonts w:hint="eastAsia" w:ascii="宋体" w:hAnsi="宋体" w:eastAsia="宋体" w:cs="宋体"/>
                <w:sz w:val="24"/>
                <w:szCs w:val="24"/>
                <w:lang w:val="en-US" w:bidi="zh-CN"/>
              </w:rPr>
              <w:t>2</w:t>
            </w:r>
            <w:r>
              <w:rPr>
                <w:rFonts w:hint="eastAsia" w:ascii="宋体" w:hAnsi="宋体" w:eastAsia="宋体" w:cs="宋体"/>
                <w:sz w:val="24"/>
                <w:szCs w:val="24"/>
                <w:lang w:val="zh-CN" w:bidi="zh-CN"/>
              </w:rPr>
              <w:t>分；</w:t>
            </w:r>
          </w:p>
          <w:p>
            <w:pPr>
              <w:rPr>
                <w:rFonts w:hint="eastAsia" w:ascii="宋体" w:hAnsi="宋体" w:eastAsia="宋体" w:cs="宋体"/>
                <w:sz w:val="24"/>
                <w:szCs w:val="24"/>
                <w:lang w:val="zh-CN" w:bidi="zh-CN"/>
              </w:rPr>
            </w:pPr>
            <w:r>
              <w:rPr>
                <w:rFonts w:hint="eastAsia" w:ascii="宋体" w:hAnsi="宋体" w:eastAsia="宋体" w:cs="宋体"/>
                <w:sz w:val="24"/>
                <w:szCs w:val="24"/>
                <w:lang w:val="zh-CN" w:bidi="zh-CN"/>
              </w:rPr>
              <w:t>（3）</w:t>
            </w:r>
            <w:r>
              <w:rPr>
                <w:rFonts w:hint="eastAsia" w:ascii="宋体" w:hAnsi="宋体" w:eastAsia="宋体" w:cs="宋体"/>
                <w:sz w:val="24"/>
                <w:szCs w:val="24"/>
                <w:lang w:val="en-US" w:bidi="zh-CN"/>
              </w:rPr>
              <w:t>投标</w:t>
            </w:r>
            <w:r>
              <w:rPr>
                <w:rFonts w:hint="eastAsia" w:ascii="宋体" w:hAnsi="宋体" w:eastAsia="宋体" w:cs="宋体"/>
                <w:sz w:val="24"/>
                <w:szCs w:val="24"/>
                <w:lang w:val="zh-CN" w:bidi="zh-CN"/>
              </w:rPr>
              <w:t>供应商具备一般性的服务保障体系，服务内容一般，问题解决方案针对性和专业技术人员业务能力一般的，得1分。</w:t>
            </w:r>
          </w:p>
        </w:tc>
        <w:tc>
          <w:tcPr>
            <w:tcW w:w="1232"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r>
    </w:tbl>
    <w:p/>
    <w:p>
      <w:pPr>
        <w:snapToGrid w:val="0"/>
        <w:rPr>
          <w:rFonts w:ascii="宋体" w:hAnsi="宋体"/>
          <w:bCs/>
          <w:color w:val="000000"/>
          <w:kern w:val="0"/>
          <w:sz w:val="24"/>
          <w:szCs w:val="24"/>
        </w:rPr>
      </w:pPr>
      <w:r>
        <w:rPr>
          <w:rFonts w:hint="eastAsia" w:ascii="宋体" w:hAnsi="宋体"/>
          <w:bCs/>
          <w:color w:val="000000"/>
          <w:kern w:val="0"/>
          <w:sz w:val="24"/>
          <w:szCs w:val="24"/>
        </w:rPr>
        <w:t xml:space="preserve">说明： </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1、评分细则中要求提供的证明文件及资料等在响应文件中提供复印件并加盖公章，过时不予接收。</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2、评审时，未能按以上要求提供相应证明的，不作为评分依据，不得分。</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3、为便于评分，请供应商按评分表样式，逐条列出证明材料所在页码，格式自定。</w:t>
      </w:r>
    </w:p>
    <w:p>
      <w:pPr>
        <w:snapToGrid w:val="0"/>
        <w:ind w:firstLine="480" w:firstLineChars="200"/>
        <w:rPr>
          <w:rFonts w:ascii="宋体" w:hAnsi="宋体"/>
          <w:bCs/>
          <w:color w:val="000000"/>
          <w:kern w:val="0"/>
          <w:sz w:val="24"/>
          <w:szCs w:val="24"/>
        </w:rPr>
      </w:pPr>
    </w:p>
    <w:p>
      <w:pPr>
        <w:pStyle w:val="37"/>
        <w:jc w:val="both"/>
        <w:rPr>
          <w:rStyle w:val="47"/>
          <w:rFonts w:ascii="宋体" w:hAnsi="宋体" w:eastAsia="宋体" w:cs="宋体"/>
          <w:b/>
          <w:sz w:val="44"/>
        </w:rPr>
      </w:pPr>
      <w:r>
        <w:rPr>
          <w:rStyle w:val="47"/>
          <w:rFonts w:hint="eastAsia" w:ascii="宋体" w:hAnsi="宋体" w:eastAsia="宋体" w:cs="宋体"/>
          <w:b/>
          <w:sz w:val="44"/>
        </w:rPr>
        <w:br w:type="page"/>
      </w:r>
    </w:p>
    <w:p>
      <w:pPr>
        <w:pStyle w:val="37"/>
        <w:outlineLvl w:val="0"/>
        <w:rPr>
          <w:rStyle w:val="47"/>
          <w:rFonts w:ascii="宋体" w:hAnsi="宋体" w:eastAsia="宋体" w:cs="宋体"/>
          <w:b/>
          <w:sz w:val="44"/>
        </w:rPr>
      </w:pPr>
      <w:bookmarkStart w:id="7" w:name="_Toc20541"/>
      <w:r>
        <w:rPr>
          <w:rStyle w:val="47"/>
          <w:rFonts w:hint="eastAsia" w:ascii="宋体" w:hAnsi="宋体" w:eastAsia="宋体" w:cs="宋体"/>
          <w:b/>
          <w:sz w:val="44"/>
        </w:rPr>
        <w:t>第六章  投标文件格式</w:t>
      </w:r>
      <w:bookmarkEnd w:id="7"/>
    </w:p>
    <w:p>
      <w:pPr>
        <w:jc w:val="center"/>
        <w:rPr>
          <w:rStyle w:val="47"/>
          <w:rFonts w:ascii="宋体" w:hAnsi="宋体" w:cs="宋体"/>
          <w:b/>
          <w:sz w:val="72"/>
        </w:rPr>
      </w:pPr>
    </w:p>
    <w:p>
      <w:pPr>
        <w:jc w:val="center"/>
        <w:outlineLvl w:val="0"/>
        <w:rPr>
          <w:rStyle w:val="47"/>
          <w:rFonts w:ascii="宋体" w:hAnsi="宋体" w:cs="宋体"/>
          <w:b/>
          <w:sz w:val="72"/>
        </w:rPr>
      </w:pPr>
      <w:bookmarkStart w:id="8" w:name="_Toc26413"/>
      <w:r>
        <w:rPr>
          <w:rStyle w:val="47"/>
          <w:rFonts w:hint="eastAsia" w:ascii="宋体" w:hAnsi="宋体" w:cs="宋体"/>
          <w:b/>
          <w:sz w:val="72"/>
        </w:rPr>
        <w:t>投  标  文  件</w:t>
      </w:r>
      <w:bookmarkEnd w:id="8"/>
    </w:p>
    <w:p>
      <w:pPr>
        <w:jc w:val="center"/>
        <w:outlineLvl w:val="0"/>
        <w:rPr>
          <w:rStyle w:val="47"/>
          <w:rFonts w:ascii="宋体" w:hAnsi="宋体" w:cs="宋体"/>
          <w:b/>
          <w:sz w:val="72"/>
        </w:rPr>
      </w:pPr>
      <w:bookmarkStart w:id="9" w:name="_Toc17655"/>
      <w:r>
        <w:rPr>
          <w:rStyle w:val="47"/>
          <w:rFonts w:hint="eastAsia" w:ascii="宋体" w:hAnsi="宋体" w:cs="宋体"/>
          <w:b/>
          <w:sz w:val="36"/>
        </w:rPr>
        <w:t>（正或副本）</w:t>
      </w:r>
      <w:bookmarkEnd w:id="9"/>
    </w:p>
    <w:p>
      <w:pPr>
        <w:jc w:val="center"/>
        <w:rPr>
          <w:rStyle w:val="47"/>
          <w:rFonts w:ascii="宋体" w:hAnsi="宋体" w:cs="宋体"/>
          <w:b/>
          <w:sz w:val="72"/>
        </w:rPr>
      </w:pPr>
    </w:p>
    <w:p>
      <w:pPr>
        <w:jc w:val="center"/>
        <w:rPr>
          <w:rStyle w:val="47"/>
          <w:rFonts w:ascii="宋体" w:hAnsi="宋体" w:cs="宋体"/>
          <w:b/>
          <w:sz w:val="36"/>
        </w:rPr>
      </w:pPr>
    </w:p>
    <w:p>
      <w:pPr>
        <w:jc w:val="center"/>
        <w:rPr>
          <w:rStyle w:val="47"/>
          <w:rFonts w:ascii="宋体" w:hAnsi="宋体" w:cs="宋体"/>
          <w:b/>
          <w:sz w:val="36"/>
        </w:rPr>
      </w:pPr>
    </w:p>
    <w:p>
      <w:pPr>
        <w:jc w:val="center"/>
        <w:rPr>
          <w:rStyle w:val="47"/>
          <w:rFonts w:ascii="宋体" w:hAnsi="宋体" w:cs="宋体"/>
          <w:b/>
          <w:sz w:val="36"/>
        </w:rPr>
      </w:pPr>
    </w:p>
    <w:p>
      <w:pPr>
        <w:ind w:firstLine="1084" w:firstLineChars="300"/>
        <w:outlineLvl w:val="0"/>
        <w:rPr>
          <w:rStyle w:val="47"/>
          <w:rFonts w:ascii="宋体" w:hAnsi="宋体" w:cs="宋体"/>
          <w:b/>
          <w:sz w:val="36"/>
        </w:rPr>
      </w:pPr>
      <w:bookmarkStart w:id="10" w:name="_Toc8567"/>
      <w:r>
        <w:rPr>
          <w:rStyle w:val="47"/>
          <w:rFonts w:hint="eastAsia" w:ascii="宋体" w:hAnsi="宋体" w:cs="宋体"/>
          <w:b/>
          <w:sz w:val="36"/>
        </w:rPr>
        <w:t>项 目 名 称：</w:t>
      </w:r>
      <w:bookmarkEnd w:id="10"/>
    </w:p>
    <w:p>
      <w:pPr>
        <w:ind w:firstLine="1084" w:firstLineChars="300"/>
        <w:outlineLvl w:val="0"/>
        <w:rPr>
          <w:rStyle w:val="47"/>
          <w:rFonts w:ascii="宋体" w:hAnsi="宋体" w:cs="宋体"/>
          <w:b/>
          <w:sz w:val="36"/>
          <w:u w:val="single" w:color="000000"/>
        </w:rPr>
      </w:pPr>
      <w:bookmarkStart w:id="11" w:name="_Toc20815"/>
      <w:r>
        <w:rPr>
          <w:rStyle w:val="47"/>
          <w:rFonts w:hint="eastAsia" w:ascii="宋体" w:hAnsi="宋体" w:cs="宋体"/>
          <w:b/>
          <w:sz w:val="36"/>
        </w:rPr>
        <w:t>招 标 编 号：</w:t>
      </w:r>
      <w:bookmarkEnd w:id="11"/>
    </w:p>
    <w:p>
      <w:pPr>
        <w:ind w:firstLine="1084" w:firstLineChars="300"/>
        <w:outlineLvl w:val="0"/>
        <w:rPr>
          <w:rStyle w:val="47"/>
          <w:rFonts w:ascii="宋体" w:hAnsi="宋体" w:cs="宋体"/>
          <w:b/>
          <w:sz w:val="36"/>
          <w:u w:val="single" w:color="000000"/>
        </w:rPr>
      </w:pPr>
      <w:bookmarkStart w:id="12" w:name="_Toc15597"/>
      <w:r>
        <w:rPr>
          <w:rStyle w:val="47"/>
          <w:rFonts w:hint="eastAsia" w:ascii="宋体" w:hAnsi="宋体" w:cs="宋体"/>
          <w:b/>
          <w:sz w:val="36"/>
        </w:rPr>
        <w:t>投标人名称 ：</w:t>
      </w:r>
      <w:bookmarkEnd w:id="12"/>
    </w:p>
    <w:p>
      <w:pPr>
        <w:ind w:firstLine="1084" w:firstLineChars="300"/>
        <w:outlineLvl w:val="0"/>
        <w:rPr>
          <w:rStyle w:val="47"/>
          <w:rFonts w:ascii="宋体" w:hAnsi="宋体" w:cs="宋体"/>
          <w:b/>
          <w:sz w:val="36"/>
        </w:rPr>
      </w:pPr>
      <w:bookmarkStart w:id="13" w:name="_Toc26387"/>
      <w:r>
        <w:rPr>
          <w:rStyle w:val="47"/>
          <w:rFonts w:hint="eastAsia" w:ascii="宋体" w:hAnsi="宋体" w:cs="宋体"/>
          <w:b/>
          <w:sz w:val="36"/>
        </w:rPr>
        <w:t>日      期 ：</w:t>
      </w:r>
      <w:bookmarkEnd w:id="13"/>
    </w:p>
    <w:p>
      <w:pPr>
        <w:spacing w:line="440" w:lineRule="exact"/>
        <w:jc w:val="center"/>
        <w:rPr>
          <w:rStyle w:val="47"/>
          <w:rFonts w:ascii="宋体" w:hAnsi="宋体" w:cs="宋体"/>
          <w:b/>
          <w:bCs/>
          <w:sz w:val="32"/>
          <w:szCs w:val="32"/>
        </w:rPr>
      </w:pPr>
    </w:p>
    <w:p>
      <w:pPr>
        <w:spacing w:line="440" w:lineRule="exact"/>
        <w:ind w:firstLine="480" w:firstLineChars="200"/>
        <w:rPr>
          <w:rStyle w:val="47"/>
          <w:rFonts w:ascii="宋体" w:hAnsi="宋体" w:cs="宋体"/>
          <w:sz w:val="24"/>
        </w:rPr>
      </w:pPr>
    </w:p>
    <w:p>
      <w:pPr>
        <w:spacing w:line="440" w:lineRule="exact"/>
        <w:ind w:firstLine="480" w:firstLineChars="200"/>
        <w:rPr>
          <w:rStyle w:val="47"/>
          <w:rFonts w:ascii="宋体" w:hAnsi="宋体" w:cs="宋体"/>
          <w:sz w:val="24"/>
        </w:rPr>
      </w:pPr>
    </w:p>
    <w:p>
      <w:pPr>
        <w:spacing w:line="440" w:lineRule="exact"/>
        <w:rPr>
          <w:rStyle w:val="47"/>
          <w:rFonts w:ascii="宋体" w:hAnsi="宋体" w:cs="宋体"/>
          <w:sz w:val="24"/>
        </w:rPr>
      </w:pPr>
    </w:p>
    <w:p>
      <w:pPr>
        <w:pStyle w:val="8"/>
        <w:rPr>
          <w:rStyle w:val="47"/>
          <w:rFonts w:ascii="宋体" w:hAnsi="宋体" w:eastAsia="宋体" w:cs="宋体"/>
          <w:b w:val="0"/>
          <w:sz w:val="24"/>
          <w:szCs w:val="21"/>
        </w:rPr>
      </w:pPr>
    </w:p>
    <w:p>
      <w:pPr>
        <w:rPr>
          <w:rStyle w:val="47"/>
          <w:rFonts w:ascii="宋体" w:hAnsi="宋体" w:cs="宋体"/>
          <w:sz w:val="24"/>
        </w:rPr>
      </w:pPr>
    </w:p>
    <w:p>
      <w:pPr>
        <w:rPr>
          <w:rStyle w:val="47"/>
          <w:rFonts w:ascii="宋体" w:hAnsi="宋体" w:cs="宋体"/>
          <w:sz w:val="24"/>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4"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noWrap/>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noWrap/>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165"/>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165"/>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5" w:name="_Toc16079"/>
    </w:p>
    <w:p>
      <w:pPr>
        <w:jc w:val="center"/>
        <w:outlineLvl w:val="0"/>
        <w:rPr>
          <w:rFonts w:ascii="宋体" w:hAnsi="宋体" w:cs="宋体"/>
          <w:b/>
          <w:bCs/>
          <w:color w:val="000000" w:themeColor="text1"/>
          <w:sz w:val="32"/>
          <w:szCs w:val="32"/>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投标主要文件目录</w:t>
      </w:r>
      <w:bookmarkEnd w:id="15"/>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6"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6"/>
    </w:p>
    <w:p>
      <w:pPr>
        <w:ind w:firstLine="482" w:firstLineChars="200"/>
        <w:outlineLvl w:val="0"/>
        <w:rPr>
          <w:rFonts w:ascii="宋体" w:hAnsi="宋体" w:cs="宋体"/>
          <w:color w:val="000000" w:themeColor="text1"/>
          <w:sz w:val="24"/>
          <w14:textFill>
            <w14:solidFill>
              <w14:schemeClr w14:val="tx1"/>
            </w14:solidFill>
          </w14:textFill>
        </w:rPr>
      </w:pPr>
      <w:bookmarkStart w:id="17"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7"/>
    </w:p>
    <w:p>
      <w:pPr>
        <w:ind w:firstLine="480" w:firstLineChars="200"/>
        <w:outlineLvl w:val="0"/>
        <w:rPr>
          <w:rFonts w:ascii="宋体" w:hAnsi="宋体" w:cs="宋体"/>
          <w:bCs/>
          <w:color w:val="000000" w:themeColor="text1"/>
          <w:sz w:val="24"/>
          <w14:textFill>
            <w14:solidFill>
              <w14:schemeClr w14:val="tx1"/>
            </w14:solidFill>
          </w14:textFill>
        </w:rPr>
      </w:pPr>
      <w:bookmarkStart w:id="18" w:name="_Toc17993"/>
      <w:r>
        <w:rPr>
          <w:rFonts w:hint="eastAsia" w:ascii="宋体" w:hAnsi="宋体" w:cs="宋体"/>
          <w:color w:val="000000" w:themeColor="text1"/>
          <w:sz w:val="24"/>
          <w14:textFill>
            <w14:solidFill>
              <w14:schemeClr w14:val="tx1"/>
            </w14:solidFill>
          </w14:textFill>
        </w:rPr>
        <w:t>三、符合性检查响应对照表</w:t>
      </w:r>
      <w:bookmarkEnd w:id="18"/>
    </w:p>
    <w:p>
      <w:pPr>
        <w:ind w:firstLine="480" w:firstLineChars="200"/>
        <w:outlineLvl w:val="0"/>
        <w:rPr>
          <w:rFonts w:ascii="宋体" w:hAnsi="宋体" w:cs="宋体"/>
          <w:color w:val="000000" w:themeColor="text1"/>
          <w:sz w:val="24"/>
          <w14:textFill>
            <w14:solidFill>
              <w14:schemeClr w14:val="tx1"/>
            </w14:solidFill>
          </w14:textFill>
        </w:rPr>
      </w:pPr>
      <w:bookmarkStart w:id="19" w:name="_Toc4466"/>
      <w:r>
        <w:rPr>
          <w:rFonts w:hint="eastAsia" w:ascii="宋体" w:hAnsi="宋体" w:cs="宋体"/>
          <w:color w:val="000000" w:themeColor="text1"/>
          <w:sz w:val="24"/>
          <w14:textFill>
            <w14:solidFill>
              <w14:schemeClr w14:val="tx1"/>
            </w14:solidFill>
          </w14:textFill>
        </w:rPr>
        <w:t>四、投标函</w:t>
      </w:r>
      <w:bookmarkEnd w:id="19"/>
    </w:p>
    <w:p>
      <w:pPr>
        <w:ind w:firstLine="480" w:firstLineChars="200"/>
        <w:outlineLvl w:val="0"/>
        <w:rPr>
          <w:rFonts w:hint="eastAsia" w:ascii="宋体" w:hAnsi="宋体" w:eastAsia="宋体" w:cs="宋体"/>
          <w:color w:val="000000" w:themeColor="text1"/>
          <w:sz w:val="24"/>
          <w:lang w:eastAsia="zh-CN"/>
          <w14:textFill>
            <w14:solidFill>
              <w14:schemeClr w14:val="tx1"/>
            </w14:solidFill>
          </w14:textFill>
        </w:rPr>
      </w:pPr>
      <w:bookmarkStart w:id="20"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0"/>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中小企业声明函</w:t>
      </w:r>
    </w:p>
    <w:p>
      <w:pPr>
        <w:ind w:firstLine="480" w:firstLineChars="200"/>
        <w:outlineLvl w:val="0"/>
        <w:rPr>
          <w:rFonts w:ascii="宋体" w:hAnsi="宋体" w:cs="宋体"/>
          <w:color w:val="000000" w:themeColor="text1"/>
          <w:sz w:val="24"/>
          <w14:textFill>
            <w14:solidFill>
              <w14:schemeClr w14:val="tx1"/>
            </w14:solidFill>
          </w14:textFill>
        </w:rPr>
      </w:pPr>
      <w:bookmarkStart w:id="21" w:name="_Toc1256"/>
      <w:r>
        <w:rPr>
          <w:rFonts w:hint="eastAsia" w:ascii="宋体" w:hAnsi="宋体" w:cs="宋体"/>
          <w:color w:val="000000" w:themeColor="text1"/>
          <w:sz w:val="24"/>
          <w14:textFill>
            <w14:solidFill>
              <w14:schemeClr w14:val="tx1"/>
            </w14:solidFill>
          </w14:textFill>
        </w:rPr>
        <w:t>六、投标配置与分项报价表</w:t>
      </w:r>
      <w:bookmarkEnd w:id="21"/>
    </w:p>
    <w:p>
      <w:pPr>
        <w:ind w:firstLine="480" w:firstLineChars="200"/>
        <w:outlineLvl w:val="0"/>
        <w:rPr>
          <w:rFonts w:ascii="宋体" w:hAnsi="宋体" w:cs="宋体"/>
          <w:color w:val="000000" w:themeColor="text1"/>
          <w:sz w:val="24"/>
          <w14:textFill>
            <w14:solidFill>
              <w14:schemeClr w14:val="tx1"/>
            </w14:solidFill>
          </w14:textFill>
        </w:rPr>
      </w:pPr>
      <w:bookmarkStart w:id="22"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3614"/>
      <w:r>
        <w:rPr>
          <w:rFonts w:hint="eastAsia" w:ascii="宋体" w:hAnsi="宋体" w:cs="宋体"/>
          <w:color w:val="000000" w:themeColor="text1"/>
          <w:sz w:val="24"/>
          <w14:textFill>
            <w14:solidFill>
              <w14:schemeClr w14:val="tx1"/>
            </w14:solidFill>
          </w14:textFill>
        </w:rPr>
        <w:t>八、商务条款响应及偏离表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25377"/>
      <w:r>
        <w:rPr>
          <w:rFonts w:hint="eastAsia" w:ascii="宋体" w:hAnsi="宋体" w:cs="宋体"/>
          <w:color w:val="000000" w:themeColor="text1"/>
          <w:sz w:val="24"/>
          <w14:textFill>
            <w14:solidFill>
              <w14:schemeClr w14:val="tx1"/>
            </w14:solidFill>
          </w14:textFill>
        </w:rPr>
        <w:t>九、技术方案、服务承诺、培训承诺等</w:t>
      </w:r>
      <w:bookmarkEnd w:id="24"/>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5" w:name="_Toc28209"/>
      <w:r>
        <w:rPr>
          <w:rFonts w:hint="eastAsia" w:ascii="宋体" w:hAnsi="宋体" w:cs="宋体"/>
          <w:color w:val="000000" w:themeColor="text1"/>
          <w:sz w:val="24"/>
          <w:szCs w:val="24"/>
          <w14:textFill>
            <w14:solidFill>
              <w14:schemeClr w14:val="tx1"/>
            </w14:solidFill>
          </w14:textFill>
        </w:rPr>
        <w:t>十</w:t>
      </w:r>
      <w:bookmarkEnd w:id="25"/>
      <w:bookmarkStart w:id="26" w:name="_Toc13879"/>
      <w:r>
        <w:rPr>
          <w:rFonts w:hint="eastAsia" w:ascii="宋体" w:hAnsi="宋体" w:cs="宋体"/>
          <w:color w:val="000000" w:themeColor="text1"/>
          <w:sz w:val="24"/>
          <w14:textFill>
            <w14:solidFill>
              <w14:schemeClr w14:val="tx1"/>
            </w14:solidFill>
          </w14:textFill>
        </w:rPr>
        <w:t>、盐城市政府采购事前信用承诺书</w:t>
      </w:r>
      <w:bookmarkEnd w:id="26"/>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bookmarkEnd w:id="14"/>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7"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7"/>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w:t>
      </w:r>
    </w:p>
    <w:p>
      <w:pPr>
        <w:pStyle w:val="10"/>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6"/>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6"/>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6"/>
        <w:jc w:val="center"/>
        <w:rPr>
          <w:rFonts w:ascii="宋体" w:hAnsi="宋体" w:cs="宋体"/>
          <w:color w:val="000000" w:themeColor="text1"/>
          <w14:textFill>
            <w14:solidFill>
              <w14:schemeClr w14:val="tx1"/>
            </w14:solidFill>
          </w14:textFill>
        </w:rPr>
      </w:pPr>
    </w:p>
    <w:p>
      <w:pPr>
        <w:pStyle w:val="6"/>
        <w:jc w:val="center"/>
        <w:rPr>
          <w:rFonts w:ascii="宋体" w:hAnsi="宋体" w:cs="宋体"/>
          <w:color w:val="000000" w:themeColor="text1"/>
          <w14:textFill>
            <w14:solidFill>
              <w14:schemeClr w14:val="tx1"/>
            </w14:solidFill>
          </w14:textFill>
        </w:rPr>
      </w:pPr>
    </w:p>
    <w:p>
      <w:pPr>
        <w:pStyle w:val="6"/>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6"/>
        <w:jc w:val="center"/>
        <w:rPr>
          <w:rFonts w:ascii="宋体" w:hAnsi="宋体" w:cs="宋体"/>
          <w:color w:val="000000" w:themeColor="text1"/>
          <w14:textFill>
            <w14:solidFill>
              <w14:schemeClr w14:val="tx1"/>
            </w14:solidFill>
          </w14:textFill>
        </w:rPr>
      </w:pPr>
    </w:p>
    <w:p>
      <w:pPr>
        <w:pStyle w:val="6"/>
        <w:jc w:val="center"/>
        <w:rPr>
          <w:rFonts w:ascii="宋体" w:hAnsi="宋体" w:cs="宋体"/>
          <w:color w:val="000000" w:themeColor="text1"/>
          <w14:textFill>
            <w14:solidFill>
              <w14:schemeClr w14:val="tx1"/>
            </w14:solidFill>
          </w14:textFill>
        </w:rPr>
      </w:pPr>
    </w:p>
    <w:p>
      <w:pPr>
        <w:pStyle w:val="6"/>
        <w:jc w:val="center"/>
        <w:rPr>
          <w:rFonts w:ascii="宋体" w:hAnsi="宋体" w:cs="宋体"/>
          <w:color w:val="000000" w:themeColor="text1"/>
          <w14:textFill>
            <w14:solidFill>
              <w14:schemeClr w14:val="tx1"/>
            </w14:solidFill>
          </w14:textFill>
        </w:rPr>
      </w:pPr>
    </w:p>
    <w:p>
      <w:pPr>
        <w:pStyle w:val="6"/>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6"/>
        <w:ind w:firstLine="0" w:firstLineChars="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6"/>
        <w:rPr>
          <w:rFonts w:ascii="宋体" w:hAnsi="宋体" w:cs="宋体"/>
          <w:color w:val="000000" w:themeColor="text1"/>
          <w:sz w:val="24"/>
          <w:szCs w:val="24"/>
          <w14:textFill>
            <w14:solidFill>
              <w14:schemeClr w14:val="tx1"/>
            </w14:solidFill>
          </w14:textFill>
        </w:rPr>
      </w:pPr>
      <w:bookmarkStart w:id="28" w:name="_格式3__银行出具的资信证明"/>
      <w:bookmarkEnd w:id="28"/>
      <w:bookmarkStart w:id="29" w:name="_Hlt26955070"/>
      <w:bookmarkEnd w:id="29"/>
      <w:bookmarkStart w:id="30" w:name="_Hlt26671380"/>
      <w:bookmarkEnd w:id="30"/>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1"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1"/>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2"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2"/>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9"/>
        <w:rPr>
          <w:rFonts w:ascii="宋体" w:hAnsi="宋体" w:cs="宋体"/>
          <w:color w:val="000000" w:themeColor="text1"/>
          <w:sz w:val="32"/>
          <w:szCs w:val="32"/>
          <w14:textFill>
            <w14:solidFill>
              <w14:schemeClr w14:val="tx1"/>
            </w14:solidFill>
          </w14:textFill>
        </w:rPr>
      </w:pPr>
    </w:p>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13422"/>
      <w:r>
        <w:rPr>
          <w:rFonts w:hint="eastAsia" w:ascii="宋体" w:hAnsi="宋体" w:cs="宋体"/>
          <w:color w:val="000000" w:themeColor="text1"/>
          <w:sz w:val="32"/>
          <w:szCs w:val="32"/>
          <w14:textFill>
            <w14:solidFill>
              <w14:schemeClr w14:val="tx1"/>
            </w14:solidFill>
          </w14:textFill>
        </w:rPr>
        <w:t>四、投标函（格式）</w:t>
      </w:r>
      <w:bookmarkEnd w:id="33"/>
    </w:p>
    <w:p>
      <w:pPr>
        <w:pStyle w:val="167"/>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7"/>
          <w:rFonts w:ascii="宋体" w:hAnsi="宋体" w:cs="宋体"/>
          <w:sz w:val="24"/>
          <w:szCs w:val="20"/>
        </w:rPr>
      </w:pPr>
    </w:p>
    <w:p>
      <w:pPr>
        <w:jc w:val="center"/>
        <w:rPr>
          <w:rStyle w:val="47"/>
          <w:rFonts w:ascii="宋体" w:hAnsi="宋体" w:cs="宋体"/>
          <w:b/>
          <w:sz w:val="32"/>
          <w:szCs w:val="32"/>
        </w:rPr>
      </w:pPr>
    </w:p>
    <w:p>
      <w:pPr>
        <w:pStyle w:val="2"/>
      </w:pPr>
    </w:p>
    <w:p>
      <w:pPr>
        <w:snapToGrid w:val="0"/>
        <w:spacing w:before="50" w:after="5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bookmarkStart w:id="34" w:name="_Toc3373"/>
    </w:p>
    <w:p>
      <w:pPr>
        <w:snapToGrid w:val="0"/>
        <w:spacing w:before="50" w:after="50"/>
        <w:jc w:val="center"/>
        <w:outlineLvl w:val="0"/>
        <w:rPr>
          <w:rStyle w:val="47"/>
          <w:rFonts w:ascii="宋体" w:hAnsi="宋体" w:cs="宋体"/>
          <w:sz w:val="32"/>
          <w:szCs w:val="32"/>
        </w:rPr>
      </w:pPr>
      <w:r>
        <w:rPr>
          <w:rStyle w:val="47"/>
          <w:rFonts w:hint="eastAsia" w:ascii="宋体" w:hAnsi="宋体" w:cs="宋体"/>
          <w:sz w:val="32"/>
          <w:szCs w:val="32"/>
        </w:rPr>
        <w:t>五、开标一览表（格式）</w:t>
      </w:r>
      <w:bookmarkEnd w:id="34"/>
    </w:p>
    <w:p>
      <w:pPr>
        <w:snapToGrid w:val="0"/>
        <w:spacing w:before="50" w:after="50"/>
        <w:jc w:val="center"/>
        <w:rPr>
          <w:rStyle w:val="47"/>
          <w:rFonts w:ascii="宋体" w:hAnsi="宋体" w:cs="宋体"/>
          <w:sz w:val="32"/>
          <w:szCs w:val="32"/>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szCs w:val="28"/>
              </w:rPr>
            </w:pPr>
            <w:r>
              <w:rPr>
                <w:rStyle w:val="47"/>
                <w:rFonts w:hint="eastAsia" w:ascii="宋体" w:hAnsi="宋体" w:cs="宋体"/>
                <w:b/>
                <w:bCs/>
                <w:szCs w:val="28"/>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是否提供《企业类型声明函》：</w:t>
            </w:r>
            <w:r>
              <w:rPr>
                <w:rStyle w:val="47"/>
                <w:rFonts w:hint="eastAsia" w:ascii="宋体" w:hAnsi="宋体" w:cs="宋体"/>
                <w:b/>
                <w:bCs/>
                <w:szCs w:val="28"/>
                <w:u w:val="single"/>
              </w:rPr>
              <w:t xml:space="preserve"> 是/否 见（   ）页</w:t>
            </w:r>
          </w:p>
        </w:tc>
      </w:tr>
    </w:tbl>
    <w:p>
      <w:pPr>
        <w:spacing w:line="240" w:lineRule="atLeast"/>
        <w:rPr>
          <w:rStyle w:val="47"/>
          <w:rFonts w:ascii="宋体" w:hAnsi="宋体" w:cs="宋体"/>
          <w:szCs w:val="28"/>
        </w:rPr>
      </w:pPr>
    </w:p>
    <w:p>
      <w:pPr>
        <w:spacing w:line="240" w:lineRule="atLeast"/>
        <w:rPr>
          <w:rStyle w:val="47"/>
          <w:rFonts w:ascii="宋体" w:hAnsi="宋体" w:cs="宋体"/>
          <w:szCs w:val="28"/>
        </w:rPr>
      </w:pPr>
      <w:r>
        <w:rPr>
          <w:rStyle w:val="47"/>
          <w:rFonts w:hint="eastAsia" w:ascii="宋体" w:hAnsi="宋体" w:cs="宋体"/>
          <w:szCs w:val="28"/>
        </w:rPr>
        <w:t>填写说明：</w:t>
      </w:r>
    </w:p>
    <w:p>
      <w:pPr>
        <w:numPr>
          <w:ilvl w:val="0"/>
          <w:numId w:val="4"/>
        </w:numPr>
        <w:rPr>
          <w:rStyle w:val="47"/>
          <w:rFonts w:ascii="宋体" w:hAnsi="宋体" w:cs="宋体"/>
          <w:sz w:val="24"/>
        </w:rPr>
      </w:pPr>
      <w:r>
        <w:rPr>
          <w:rStyle w:val="47"/>
          <w:rFonts w:hint="eastAsia" w:ascii="宋体" w:hAnsi="宋体" w:cs="宋体"/>
          <w:sz w:val="24"/>
        </w:rPr>
        <w:t>开标一览表不得填报选择性报价，否则将作为无效投标；</w:t>
      </w:r>
    </w:p>
    <w:p>
      <w:pPr>
        <w:numPr>
          <w:ilvl w:val="0"/>
          <w:numId w:val="4"/>
        </w:numPr>
        <w:rPr>
          <w:rStyle w:val="47"/>
          <w:rFonts w:ascii="宋体" w:hAnsi="宋体" w:cs="宋体"/>
          <w:sz w:val="24"/>
        </w:rPr>
      </w:pPr>
      <w:r>
        <w:rPr>
          <w:rStyle w:val="47"/>
          <w:rFonts w:hint="eastAsia" w:ascii="宋体" w:hAnsi="宋体" w:cs="宋体"/>
          <w:sz w:val="24"/>
        </w:rPr>
        <w:t>开标一览表中报价与投标分项明细报价表中不符时时，以开标一览表为准；</w:t>
      </w:r>
    </w:p>
    <w:p>
      <w:pPr>
        <w:ind w:firstLine="2640" w:firstLineChars="600"/>
        <w:rPr>
          <w:rStyle w:val="47"/>
          <w:rFonts w:ascii="宋体" w:hAnsi="宋体" w:cs="宋体"/>
          <w:sz w:val="44"/>
        </w:rPr>
      </w:pPr>
    </w:p>
    <w:p>
      <w:pPr>
        <w:ind w:firstLine="480"/>
        <w:rPr>
          <w:rStyle w:val="47"/>
          <w:rFonts w:ascii="宋体" w:hAnsi="宋体" w:cs="宋体"/>
          <w:sz w:val="24"/>
        </w:rPr>
      </w:pPr>
    </w:p>
    <w:p>
      <w:pPr>
        <w:ind w:firstLine="480"/>
        <w:rPr>
          <w:rStyle w:val="47"/>
          <w:rFonts w:ascii="宋体" w:hAnsi="宋体" w:cs="宋体"/>
          <w:sz w:val="24"/>
        </w:rPr>
      </w:pPr>
    </w:p>
    <w:p>
      <w:pPr>
        <w:ind w:firstLine="480"/>
        <w:jc w:val="center"/>
        <w:rPr>
          <w:rStyle w:val="47"/>
          <w:rFonts w:ascii="宋体" w:hAnsi="宋体" w:cs="宋体"/>
          <w:sz w:val="24"/>
        </w:rPr>
      </w:pPr>
      <w:r>
        <w:rPr>
          <w:rStyle w:val="47"/>
          <w:rFonts w:hint="eastAsia" w:ascii="宋体" w:hAnsi="宋体" w:cs="宋体"/>
          <w:bCs/>
          <w:sz w:val="24"/>
        </w:rPr>
        <w:t xml:space="preserve">                                        供应商名称（公章）：</w:t>
      </w:r>
    </w:p>
    <w:p>
      <w:pPr>
        <w:ind w:firstLine="480"/>
        <w:rPr>
          <w:rStyle w:val="47"/>
          <w:rFonts w:ascii="宋体" w:hAnsi="宋体" w:cs="宋体"/>
          <w:sz w:val="24"/>
        </w:rPr>
      </w:pPr>
      <w:r>
        <w:rPr>
          <w:rStyle w:val="47"/>
          <w:rFonts w:hint="eastAsia" w:ascii="宋体" w:hAnsi="宋体" w:cs="宋体"/>
          <w:sz w:val="24"/>
        </w:rPr>
        <w:t xml:space="preserve">                                              日期： 年月日</w:t>
      </w:r>
    </w:p>
    <w:p>
      <w:pPr>
        <w:pStyle w:val="2"/>
      </w:pPr>
    </w:p>
    <w:p/>
    <w:p>
      <w:pPr>
        <w:pStyle w:val="8"/>
      </w:pPr>
    </w:p>
    <w:p/>
    <w:p>
      <w:pPr>
        <w:rPr>
          <w:rFonts w:ascii="宋体" w:hAnsi="宋体" w:cs="宋体"/>
          <w:b/>
          <w:sz w:val="24"/>
          <w:szCs w:val="24"/>
        </w:rPr>
      </w:pPr>
      <w:bookmarkStart w:id="35" w:name="_Toc515647824"/>
      <w:bookmarkStart w:id="36" w:name="_Toc11803"/>
      <w:bookmarkStart w:id="37" w:name="_Toc10977"/>
      <w:bookmarkStart w:id="38" w:name="_Toc13776"/>
    </w:p>
    <w:bookmarkEnd w:id="35"/>
    <w:bookmarkEnd w:id="36"/>
    <w:bookmarkEnd w:id="37"/>
    <w:bookmarkEnd w:id="38"/>
    <w:p>
      <w:pPr>
        <w:pStyle w:val="5"/>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附件：1、中小企业声明函（服务）</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w:t>
      </w:r>
      <w:r>
        <w:rPr>
          <w:rFonts w:hint="eastAsia"/>
          <w:b/>
          <w:szCs w:val="24"/>
        </w:rPr>
        <w:t>软件和信息技术服务业</w:t>
      </w:r>
      <w:r>
        <w:rPr>
          <w:rFonts w:hint="eastAsia" w:ascii="宋体" w:hAnsi="宋体" w:cs="宋体"/>
          <w:b/>
          <w:bCs/>
          <w:color w:val="000000" w:themeColor="text1"/>
          <w14:textFill>
            <w14:solidFill>
              <w14:schemeClr w14:val="tx1"/>
            </w14:solidFill>
          </w14:textFill>
        </w:rPr>
        <w:t>，根据《关于印发中小企业划型标准规定的通知》（工信部联企业[2011]300号）文件规定及国家统计局关于印发《统计上大中小微型企业划分办法（2017）》的通知规定的划分标准填写。</w:t>
      </w: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0"/>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spacing w:line="560" w:lineRule="exact"/>
        <w:jc w:val="center"/>
        <w:rPr>
          <w:rFonts w:hint="eastAsia" w:ascii="宋体" w:hAnsi="宋体"/>
          <w:b/>
          <w:bCs/>
          <w:sz w:val="32"/>
          <w:szCs w:val="32"/>
          <w:highlight w:val="none"/>
        </w:rPr>
      </w:pPr>
      <w:r>
        <w:rPr>
          <w:rFonts w:hint="eastAsia" w:ascii="宋体" w:hAnsi="宋体"/>
          <w:b/>
          <w:bCs/>
          <w:sz w:val="32"/>
          <w:szCs w:val="32"/>
          <w:highlight w:val="none"/>
        </w:rPr>
        <w:t>中小企业声明函（</w:t>
      </w:r>
      <w:r>
        <w:rPr>
          <w:rFonts w:hint="eastAsia" w:ascii="宋体" w:hAnsi="宋体"/>
          <w:b/>
          <w:bCs/>
          <w:sz w:val="32"/>
          <w:szCs w:val="32"/>
          <w:highlight w:val="none"/>
          <w:lang w:val="en-US" w:eastAsia="zh-CN"/>
        </w:rPr>
        <w:t>服务</w:t>
      </w:r>
      <w:r>
        <w:rPr>
          <w:rFonts w:hint="eastAsia" w:ascii="宋体" w:hAnsi="宋体"/>
          <w:b/>
          <w:bCs/>
          <w:sz w:val="32"/>
          <w:szCs w:val="32"/>
          <w:highlight w:val="none"/>
        </w:rPr>
        <w:t>）</w:t>
      </w:r>
    </w:p>
    <w:p>
      <w:pPr>
        <w:spacing w:line="560" w:lineRule="exact"/>
        <w:rPr>
          <w:rFonts w:hint="eastAsia" w:ascii="宋体" w:hAnsi="宋体"/>
          <w:b/>
          <w:bCs/>
          <w:sz w:val="28"/>
          <w:szCs w:val="28"/>
          <w:highlight w:val="none"/>
        </w:rPr>
      </w:pPr>
    </w:p>
    <w:p>
      <w:pPr>
        <w:widowControl/>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本公司郑重声明，根据《政府采购促进中小企业发展管理办法》（财库﹝2020﹞46 号）的规定，本公司参加</w:t>
      </w:r>
      <w:r>
        <w:rPr>
          <w:rFonts w:hint="eastAsia" w:ascii="宋体" w:hAnsi="宋体" w:cs="宋体"/>
          <w:sz w:val="24"/>
          <w:szCs w:val="24"/>
          <w:highlight w:val="none"/>
          <w:u w:val="single"/>
        </w:rPr>
        <w:t>（单位名称）</w:t>
      </w:r>
      <w:r>
        <w:rPr>
          <w:rFonts w:hint="eastAsia" w:ascii="宋体" w:hAnsi="宋体" w:cs="宋体"/>
          <w:sz w:val="24"/>
          <w:szCs w:val="24"/>
          <w:highlight w:val="none"/>
        </w:rPr>
        <w:t>的</w:t>
      </w:r>
      <w:r>
        <w:rPr>
          <w:rFonts w:hint="eastAsia" w:ascii="宋体" w:hAnsi="宋体" w:cs="宋体"/>
          <w:sz w:val="24"/>
          <w:szCs w:val="24"/>
          <w:highlight w:val="none"/>
          <w:u w:val="single"/>
        </w:rPr>
        <w:t>（项目名称）</w:t>
      </w:r>
      <w:r>
        <w:rPr>
          <w:rFonts w:hint="eastAsia" w:ascii="宋体" w:hAnsi="宋体" w:cs="宋体"/>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numPr>
          <w:ilvl w:val="0"/>
          <w:numId w:val="5"/>
        </w:numPr>
        <w:ind w:firstLine="480" w:firstLineChars="200"/>
        <w:jc w:val="left"/>
        <w:rPr>
          <w:rFonts w:hint="eastAsia" w:ascii="宋体" w:hAnsi="宋体" w:cs="宋体"/>
          <w:sz w:val="24"/>
          <w:szCs w:val="24"/>
          <w:highlight w:val="none"/>
        </w:rPr>
      </w:pPr>
      <w:r>
        <w:rPr>
          <w:rFonts w:hint="eastAsia" w:ascii="宋体" w:hAnsi="宋体" w:cs="宋体"/>
          <w:i/>
          <w:iCs/>
          <w:sz w:val="24"/>
          <w:szCs w:val="24"/>
          <w:highlight w:val="none"/>
          <w:u w:val="single"/>
        </w:rPr>
        <w:t xml:space="preserve">（标的名称） </w:t>
      </w:r>
      <w:r>
        <w:rPr>
          <w:rFonts w:hint="eastAsia" w:ascii="宋体" w:hAnsi="宋体" w:cs="宋体"/>
          <w:sz w:val="24"/>
          <w:szCs w:val="24"/>
          <w:highlight w:val="none"/>
        </w:rPr>
        <w:t>，属于</w:t>
      </w:r>
      <w:r>
        <w:rPr>
          <w:rFonts w:hint="eastAsia" w:ascii="宋体" w:hAnsi="宋体" w:cs="宋体"/>
          <w:i/>
          <w:iCs/>
          <w:sz w:val="24"/>
          <w:szCs w:val="24"/>
          <w:highlight w:val="none"/>
          <w:u w:val="single"/>
        </w:rPr>
        <w:t>（采购文件中明确的所属行业）</w:t>
      </w:r>
      <w:r>
        <w:rPr>
          <w:rFonts w:hint="eastAsia" w:ascii="宋体" w:hAnsi="宋体" w:cs="宋体"/>
          <w:sz w:val="24"/>
          <w:szCs w:val="24"/>
          <w:highlight w:val="none"/>
        </w:rPr>
        <w:t>行业；承接（承接）企业为</w:t>
      </w:r>
      <w:r>
        <w:rPr>
          <w:rFonts w:hint="eastAsia" w:ascii="宋体" w:hAnsi="宋体" w:cs="宋体"/>
          <w:i/>
          <w:iCs/>
          <w:sz w:val="24"/>
          <w:szCs w:val="24"/>
          <w:highlight w:val="none"/>
          <w:u w:val="single"/>
        </w:rPr>
        <w:t>（企业名称）</w:t>
      </w:r>
      <w:r>
        <w:rPr>
          <w:rFonts w:hint="eastAsia" w:ascii="宋体" w:hAnsi="宋体" w:cs="宋体"/>
          <w:sz w:val="24"/>
          <w:szCs w:val="24"/>
          <w:highlight w:val="none"/>
        </w:rPr>
        <w:t>，从业人员</w:t>
      </w:r>
      <w:r>
        <w:rPr>
          <w:rFonts w:hint="eastAsia" w:ascii="宋体" w:hAnsi="宋体" w:cs="宋体"/>
          <w:i/>
          <w:iCs/>
          <w:sz w:val="24"/>
          <w:szCs w:val="24"/>
          <w:highlight w:val="none"/>
          <w:u w:val="single"/>
        </w:rPr>
        <w:t xml:space="preserve">        </w:t>
      </w:r>
      <w:r>
        <w:rPr>
          <w:rFonts w:hint="eastAsia" w:ascii="宋体" w:hAnsi="宋体" w:cs="宋体"/>
          <w:sz w:val="24"/>
          <w:szCs w:val="24"/>
          <w:highlight w:val="none"/>
        </w:rPr>
        <w:t>人，营业收入为</w:t>
      </w:r>
      <w:r>
        <w:rPr>
          <w:rFonts w:hint="eastAsia" w:ascii="宋体" w:hAnsi="宋体" w:cs="宋体"/>
          <w:i/>
          <w:iCs/>
          <w:sz w:val="24"/>
          <w:szCs w:val="24"/>
          <w:highlight w:val="none"/>
          <w:u w:val="single"/>
        </w:rPr>
        <w:t xml:space="preserve">        </w:t>
      </w:r>
      <w:r>
        <w:rPr>
          <w:rFonts w:hint="eastAsia" w:ascii="宋体" w:hAnsi="宋体" w:cs="宋体"/>
          <w:sz w:val="24"/>
          <w:szCs w:val="24"/>
          <w:highlight w:val="none"/>
        </w:rPr>
        <w:t>万元，资产总额为</w:t>
      </w:r>
      <w:r>
        <w:rPr>
          <w:rFonts w:hint="eastAsia" w:ascii="宋体" w:hAnsi="宋体" w:cs="宋体"/>
          <w:i/>
          <w:iCs/>
          <w:sz w:val="24"/>
          <w:szCs w:val="24"/>
          <w:highlight w:val="none"/>
          <w:u w:val="single"/>
        </w:rPr>
        <w:t xml:space="preserve">        </w:t>
      </w:r>
      <w:r>
        <w:rPr>
          <w:rFonts w:hint="eastAsia" w:ascii="宋体" w:hAnsi="宋体" w:cs="宋体"/>
          <w:sz w:val="24"/>
          <w:szCs w:val="24"/>
          <w:highlight w:val="none"/>
        </w:rPr>
        <w:t>万元，属于</w:t>
      </w:r>
      <w:r>
        <w:rPr>
          <w:rFonts w:hint="eastAsia" w:ascii="宋体" w:hAnsi="宋体" w:cs="宋体"/>
          <w:i/>
          <w:iCs/>
          <w:sz w:val="24"/>
          <w:szCs w:val="24"/>
          <w:highlight w:val="none"/>
          <w:u w:val="single"/>
        </w:rPr>
        <w:t>（中型企业、小型企业、微型企业）</w:t>
      </w:r>
      <w:r>
        <w:rPr>
          <w:rFonts w:hint="eastAsia" w:ascii="宋体" w:hAnsi="宋体" w:cs="宋体"/>
          <w:sz w:val="24"/>
          <w:szCs w:val="24"/>
          <w:highlight w:val="none"/>
        </w:rPr>
        <w:t>；</w:t>
      </w:r>
    </w:p>
    <w:p>
      <w:pPr>
        <w:widowControl/>
        <w:numPr>
          <w:ilvl w:val="0"/>
          <w:numId w:val="5"/>
        </w:numPr>
        <w:ind w:firstLine="480" w:firstLineChars="200"/>
        <w:jc w:val="left"/>
        <w:rPr>
          <w:rFonts w:hint="eastAsia" w:ascii="宋体" w:hAnsi="宋体" w:cs="宋体"/>
          <w:sz w:val="24"/>
          <w:szCs w:val="24"/>
          <w:highlight w:val="none"/>
        </w:rPr>
      </w:pPr>
      <w:r>
        <w:rPr>
          <w:rFonts w:hint="eastAsia" w:ascii="宋体" w:hAnsi="宋体" w:cs="宋体"/>
          <w:i/>
          <w:iCs/>
          <w:sz w:val="24"/>
          <w:szCs w:val="24"/>
          <w:highlight w:val="none"/>
          <w:u w:val="single"/>
        </w:rPr>
        <w:t xml:space="preserve">（标的名称） </w:t>
      </w:r>
      <w:r>
        <w:rPr>
          <w:rFonts w:hint="eastAsia" w:ascii="宋体" w:hAnsi="宋体" w:cs="宋体"/>
          <w:sz w:val="24"/>
          <w:szCs w:val="24"/>
          <w:highlight w:val="none"/>
        </w:rPr>
        <w:t>，属于</w:t>
      </w:r>
      <w:r>
        <w:rPr>
          <w:rFonts w:hint="eastAsia" w:ascii="宋体" w:hAnsi="宋体" w:cs="宋体"/>
          <w:i/>
          <w:iCs/>
          <w:sz w:val="24"/>
          <w:szCs w:val="24"/>
          <w:highlight w:val="none"/>
          <w:u w:val="single"/>
        </w:rPr>
        <w:t>（采购文件中明确的所属行业）</w:t>
      </w:r>
      <w:r>
        <w:rPr>
          <w:rFonts w:hint="eastAsia" w:ascii="宋体" w:hAnsi="宋体" w:cs="宋体"/>
          <w:sz w:val="24"/>
          <w:szCs w:val="24"/>
          <w:highlight w:val="none"/>
        </w:rPr>
        <w:t>行业；承接（承接）企业为</w:t>
      </w:r>
      <w:r>
        <w:rPr>
          <w:rFonts w:hint="eastAsia" w:ascii="宋体" w:hAnsi="宋体" w:cs="宋体"/>
          <w:i/>
          <w:iCs/>
          <w:sz w:val="24"/>
          <w:szCs w:val="24"/>
          <w:highlight w:val="none"/>
          <w:u w:val="single"/>
        </w:rPr>
        <w:t>（企业名称）</w:t>
      </w:r>
      <w:r>
        <w:rPr>
          <w:rFonts w:hint="eastAsia" w:ascii="宋体" w:hAnsi="宋体" w:cs="宋体"/>
          <w:sz w:val="24"/>
          <w:szCs w:val="24"/>
          <w:highlight w:val="none"/>
        </w:rPr>
        <w:t>，从业人员</w:t>
      </w:r>
      <w:r>
        <w:rPr>
          <w:rFonts w:hint="eastAsia" w:ascii="宋体" w:hAnsi="宋体" w:cs="宋体"/>
          <w:i/>
          <w:iCs/>
          <w:sz w:val="24"/>
          <w:szCs w:val="24"/>
          <w:highlight w:val="none"/>
          <w:u w:val="single"/>
        </w:rPr>
        <w:t xml:space="preserve">        </w:t>
      </w:r>
      <w:r>
        <w:rPr>
          <w:rFonts w:hint="eastAsia" w:ascii="宋体" w:hAnsi="宋体" w:cs="宋体"/>
          <w:sz w:val="24"/>
          <w:szCs w:val="24"/>
          <w:highlight w:val="none"/>
        </w:rPr>
        <w:t>人，营业收入为</w:t>
      </w:r>
      <w:r>
        <w:rPr>
          <w:rFonts w:hint="eastAsia" w:ascii="宋体" w:hAnsi="宋体" w:cs="宋体"/>
          <w:i/>
          <w:iCs/>
          <w:sz w:val="24"/>
          <w:szCs w:val="24"/>
          <w:highlight w:val="none"/>
          <w:u w:val="single"/>
        </w:rPr>
        <w:t xml:space="preserve">        </w:t>
      </w:r>
      <w:r>
        <w:rPr>
          <w:rFonts w:hint="eastAsia" w:ascii="宋体" w:hAnsi="宋体" w:cs="宋体"/>
          <w:sz w:val="24"/>
          <w:szCs w:val="24"/>
          <w:highlight w:val="none"/>
        </w:rPr>
        <w:t>万元，资产总额为</w:t>
      </w:r>
      <w:r>
        <w:rPr>
          <w:rFonts w:hint="eastAsia" w:ascii="宋体" w:hAnsi="宋体" w:cs="宋体"/>
          <w:i/>
          <w:iCs/>
          <w:sz w:val="24"/>
          <w:szCs w:val="24"/>
          <w:highlight w:val="none"/>
          <w:u w:val="single"/>
        </w:rPr>
        <w:t xml:space="preserve">        </w:t>
      </w:r>
      <w:r>
        <w:rPr>
          <w:rFonts w:hint="eastAsia" w:ascii="宋体" w:hAnsi="宋体" w:cs="宋体"/>
          <w:sz w:val="24"/>
          <w:szCs w:val="24"/>
          <w:highlight w:val="none"/>
        </w:rPr>
        <w:t>万元，属于</w:t>
      </w:r>
      <w:r>
        <w:rPr>
          <w:rFonts w:hint="eastAsia" w:ascii="宋体" w:hAnsi="宋体" w:cs="宋体"/>
          <w:i/>
          <w:iCs/>
          <w:sz w:val="24"/>
          <w:szCs w:val="24"/>
          <w:highlight w:val="none"/>
          <w:u w:val="single"/>
        </w:rPr>
        <w:t>（中型企业、小型企业、微型企业）</w:t>
      </w:r>
      <w:r>
        <w:rPr>
          <w:rFonts w:hint="eastAsia" w:ascii="宋体" w:hAnsi="宋体" w:cs="宋体"/>
          <w:sz w:val="24"/>
          <w:szCs w:val="24"/>
          <w:highlight w:val="none"/>
        </w:rPr>
        <w:t>；</w:t>
      </w:r>
    </w:p>
    <w:p>
      <w:pPr>
        <w:widowControl/>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w:t>
      </w:r>
    </w:p>
    <w:p>
      <w:pPr>
        <w:widowControl/>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以上企业，不属于大企业的分支机构，不存在控股股东为大企业的情形，也不存在与大企业的负责人为同一人的情形。</w:t>
      </w:r>
    </w:p>
    <w:p>
      <w:pPr>
        <w:widowControl/>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本企业对上述声明内容的真实性负责。如有虚假，将依法承担相应责任。</w:t>
      </w:r>
    </w:p>
    <w:p>
      <w:pPr>
        <w:widowControl/>
        <w:ind w:firstLine="4080" w:firstLineChars="1700"/>
        <w:jc w:val="left"/>
        <w:rPr>
          <w:rFonts w:hint="eastAsia" w:ascii="宋体" w:hAnsi="宋体" w:cs="宋体"/>
          <w:sz w:val="24"/>
          <w:szCs w:val="24"/>
          <w:highlight w:val="none"/>
        </w:rPr>
      </w:pPr>
      <w:r>
        <w:rPr>
          <w:rFonts w:hint="eastAsia" w:ascii="宋体" w:hAnsi="宋体" w:cs="宋体"/>
          <w:sz w:val="24"/>
          <w:szCs w:val="24"/>
          <w:highlight w:val="none"/>
        </w:rPr>
        <w:t>企业名称（盖章）：</w:t>
      </w:r>
    </w:p>
    <w:p>
      <w:pPr>
        <w:widowControl/>
        <w:ind w:firstLine="4080" w:firstLineChars="1700"/>
        <w:jc w:val="left"/>
        <w:rPr>
          <w:rFonts w:hint="eastAsia" w:ascii="宋体" w:hAnsi="宋体" w:cs="宋体"/>
          <w:sz w:val="24"/>
          <w:szCs w:val="24"/>
          <w:highlight w:val="none"/>
        </w:rPr>
      </w:pPr>
      <w:r>
        <w:rPr>
          <w:rFonts w:hint="eastAsia" w:ascii="宋体" w:hAnsi="宋体" w:cs="宋体"/>
          <w:sz w:val="24"/>
          <w:szCs w:val="24"/>
          <w:highlight w:val="none"/>
        </w:rPr>
        <w:t>日期：</w:t>
      </w:r>
    </w:p>
    <w:p>
      <w:pPr>
        <w:spacing w:line="560" w:lineRule="exact"/>
        <w:jc w:val="center"/>
        <w:rPr>
          <w:rFonts w:hint="eastAsia" w:ascii="宋体" w:hAnsi="宋体"/>
          <w:b/>
          <w:bCs/>
          <w:highlight w:val="none"/>
        </w:rPr>
      </w:pPr>
      <w:r>
        <w:rPr>
          <w:rFonts w:hint="eastAsia" w:ascii="宋体" w:hAnsi="宋体"/>
          <w:b/>
          <w:bCs/>
          <w:highlight w:val="none"/>
        </w:rPr>
        <w:t>从业人员、营业收入、资产总额填报上一年度数据，无上一年度数据的新成立企业可不填报。</w:t>
      </w:r>
    </w:p>
    <w:p>
      <w:pPr>
        <w:spacing w:line="360" w:lineRule="auto"/>
        <w:jc w:val="center"/>
        <w:rPr>
          <w:rFonts w:hint="eastAsia" w:ascii="宋体" w:hAnsi="宋体"/>
          <w:b/>
          <w:bCs/>
          <w:color w:val="000000"/>
          <w:sz w:val="32"/>
          <w:szCs w:val="32"/>
          <w:highlight w:val="none"/>
        </w:rPr>
      </w:pPr>
    </w:p>
    <w:p>
      <w:pPr>
        <w:spacing w:line="360" w:lineRule="auto"/>
        <w:jc w:val="center"/>
        <w:rPr>
          <w:rFonts w:hint="eastAsia" w:ascii="宋体" w:hAnsi="宋体"/>
          <w:b/>
          <w:bCs/>
          <w:color w:val="000000"/>
          <w:sz w:val="32"/>
          <w:szCs w:val="32"/>
          <w:highlight w:val="none"/>
        </w:rPr>
      </w:pPr>
    </w:p>
    <w:p>
      <w:pPr>
        <w:pStyle w:val="20"/>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59"/>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59"/>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39"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w:t>
      </w:r>
      <w:bookmarkEnd w:id="39"/>
    </w:p>
    <w:tbl>
      <w:tblPr>
        <w:tblStyle w:val="22"/>
        <w:tblW w:w="108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7"/>
        <w:gridCol w:w="6803"/>
        <w:gridCol w:w="615"/>
        <w:gridCol w:w="465"/>
        <w:gridCol w:w="960"/>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shd w:val="clear" w:color="auto" w:fill="auto"/>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产品名称</w:t>
            </w:r>
          </w:p>
        </w:tc>
        <w:tc>
          <w:tcPr>
            <w:tcW w:w="6803" w:type="dxa"/>
            <w:shd w:val="clear" w:color="auto" w:fill="auto"/>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技术参数</w:t>
            </w:r>
          </w:p>
        </w:tc>
        <w:tc>
          <w:tcPr>
            <w:tcW w:w="615" w:type="dxa"/>
            <w:shd w:val="clear" w:color="auto" w:fill="auto"/>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单位</w:t>
            </w:r>
          </w:p>
        </w:tc>
        <w:tc>
          <w:tcPr>
            <w:tcW w:w="465" w:type="dxa"/>
            <w:shd w:val="clear" w:color="auto" w:fill="auto"/>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数量</w:t>
            </w:r>
          </w:p>
        </w:tc>
        <w:tc>
          <w:tcPr>
            <w:tcW w:w="960" w:type="dxa"/>
            <w:shd w:val="clear" w:color="auto" w:fill="auto"/>
            <w:vAlign w:val="center"/>
          </w:tcPr>
          <w:p>
            <w:pPr>
              <w:spacing w:line="360" w:lineRule="auto"/>
              <w:jc w:val="center"/>
              <w:rPr>
                <w:rFonts w:hint="eastAsia"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单价（元）</w:t>
            </w:r>
          </w:p>
        </w:tc>
        <w:tc>
          <w:tcPr>
            <w:tcW w:w="811" w:type="dxa"/>
            <w:shd w:val="clear" w:color="auto" w:fill="auto"/>
            <w:vAlign w:val="center"/>
          </w:tcPr>
          <w:p>
            <w:pPr>
              <w:spacing w:line="360" w:lineRule="auto"/>
              <w:jc w:val="center"/>
              <w:rPr>
                <w:rFonts w:hint="eastAsia" w:ascii="宋体" w:hAnsi="宋体" w:eastAsia="宋体" w:cs="宋体"/>
                <w:b/>
                <w:color w:val="000000"/>
                <w:sz w:val="24"/>
                <w:szCs w:val="24"/>
                <w:lang w:val="en-US" w:eastAsia="zh-CN"/>
              </w:rPr>
            </w:pPr>
            <w:r>
              <w:rPr>
                <w:rFonts w:hint="eastAsia" w:ascii="宋体" w:hAnsi="宋体" w:cs="宋体"/>
                <w:b/>
                <w:color w:val="000000"/>
                <w:sz w:val="24"/>
                <w:szCs w:val="24"/>
                <w:lang w:val="en-US" w:eastAsia="zh-CN"/>
              </w:rPr>
              <w:t>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7" w:type="dxa"/>
            <w:shd w:val="clear" w:color="auto" w:fill="auto"/>
            <w:vAlign w:val="center"/>
          </w:tcPr>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商务数据分析与可视化平台</w:t>
            </w:r>
          </w:p>
          <w:p>
            <w:pPr>
              <w:spacing w:line="360" w:lineRule="auto"/>
              <w:jc w:val="center"/>
              <w:rPr>
                <w:rFonts w:asciiTheme="minorEastAsia" w:hAnsiTheme="minorEastAsia" w:cstheme="minorEastAsia"/>
                <w:bCs/>
                <w:sz w:val="24"/>
                <w:szCs w:val="24"/>
              </w:rPr>
            </w:pPr>
          </w:p>
        </w:tc>
        <w:tc>
          <w:tcPr>
            <w:tcW w:w="6803" w:type="dxa"/>
            <w:shd w:val="clear" w:color="auto" w:fill="auto"/>
            <w:vAlign w:val="center"/>
          </w:tcPr>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平台以商务数据分析类考试大纲、职业技能证书标准等要求为依据，配套丰富的题目组成海量题库，教师可以根据需求自由组合试卷，学生答卷后系统将自动生成一份职业能力评测报告。</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1、题库管理</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1.1、题库支持自定义多级分类管理，对分类支持增加、删除、修改操作，建设好的题库可以调整所属分类。</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1.2、至少应支持单选、多选、填空、判断、简答等常见题型。</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1.3、建设题库时除可以手动录入外应支持模板导入功能，模板至少提供常用的excel格式。</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2、试卷管理</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2.1、可以从题库选择试题进行组卷，支持在线修改试卷名称、排序、内容、添加、删除试题等。</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2.2、可根据知识点指定试题类型随机组合试卷。</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3、考试管理</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3.1、可创建考试，对考试时间、考试时长进行设置，并指定考试人员、阅卷老师。</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4、考试阅卷</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4.1、系统自动对客观题进行机选判分</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4.2、阅卷老师可对考试进行阅卷，对主观题进行人工评分，并可检查客观题判分情况，有修改客观题评分的权限。</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5、成绩统计</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5.1、针对每场考试有完整的数据统计查看正常考试的得分情况，并支持查看每位考生具体的答题情况。</w:t>
            </w:r>
          </w:p>
          <w:p>
            <w:pPr>
              <w:widowControl/>
              <w:spacing w:line="360" w:lineRule="auto"/>
              <w:rPr>
                <w:rFonts w:asciiTheme="minorEastAsia" w:hAnsiTheme="minorEastAsia" w:cstheme="minorEastAsia"/>
                <w:sz w:val="24"/>
                <w:szCs w:val="24"/>
              </w:rPr>
            </w:pPr>
            <w:r>
              <w:rPr>
                <w:rFonts w:hint="eastAsia" w:ascii="宋体" w:hAnsi="宋体" w:eastAsia="宋体" w:cs="Times New Roman"/>
                <w:kern w:val="0"/>
                <w:sz w:val="24"/>
                <w:szCs w:val="24"/>
              </w:rPr>
              <w:t>■</w:t>
            </w:r>
            <w:r>
              <w:rPr>
                <w:rFonts w:hint="eastAsia" w:asciiTheme="minorEastAsia" w:hAnsiTheme="minorEastAsia" w:cstheme="minorEastAsia"/>
                <w:sz w:val="24"/>
                <w:szCs w:val="24"/>
              </w:rPr>
              <w:t>6、软件具备1500道以上的商务数据分析训练题。</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7、商务数据分析视觉设计评测模块</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7.1软件按照系统化、流程化的模式评测学生的视觉设计能力，学生须按顺序完成前一个模块的任务后才可进行下一个任务的训练。</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7.2软件具备装修规则及装修素材给学生查看，帮助学生进行店铺装修能力评测。</w:t>
            </w:r>
          </w:p>
          <w:p>
            <w:pPr>
              <w:widowControl/>
              <w:spacing w:line="360" w:lineRule="auto"/>
              <w:rPr>
                <w:rFonts w:asciiTheme="minorEastAsia" w:hAnsiTheme="minorEastAsia" w:cstheme="minorEastAsia"/>
                <w:sz w:val="24"/>
                <w:szCs w:val="24"/>
              </w:rPr>
            </w:pPr>
            <w:r>
              <w:rPr>
                <w:rFonts w:hint="eastAsia" w:ascii="宋体" w:hAnsi="宋体" w:cs="宋体"/>
                <w:szCs w:val="21"/>
              </w:rPr>
              <w:t>▲</w:t>
            </w:r>
            <w:r>
              <w:rPr>
                <w:rFonts w:hint="eastAsia" w:asciiTheme="minorEastAsia" w:hAnsiTheme="minorEastAsia" w:cstheme="minorEastAsia"/>
                <w:sz w:val="24"/>
                <w:szCs w:val="24"/>
              </w:rPr>
              <w:t>7.3软件具备店招设置、电脑海报设置、店铺分类设置、店铺商品设置等模块，学生按照装修规则对店铺进行装修后。由老师进行店铺装修预览并打分。</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8、商务数据分析经营策略评测模块</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8.1行业数据：提供多平台，多国家的，多时间段的商务平台国家数据分析，包括可查看行业的浏览量、访问量、购买量和卖家行为。并通过图表的形式展示最新的行业数据（浏览指数、点击指数、购买力和卖家商品上新时间分布）。学生可使用数据横向对比趋势图对部分数据进行多数据横向对比。</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8.2商品数据：通过列表的形式展示品牌榜单数据（商品缩略图、商品标题、SKU、点击率、转化率、成本价和查看商品详情操作）。可查看该品牌详细的数据（品牌商品按点击指数的排名、品牌商品按转化率指数的排名、品牌商品按成本价的排名和查看该品牌商品的具体详情信息），学生可使用数据横向对比趋势图将以上数据通过折线图的形式展示出来。</w:t>
            </w:r>
          </w:p>
          <w:p>
            <w:pPr>
              <w:widowControl/>
              <w:spacing w:line="360" w:lineRule="auto"/>
              <w:rPr>
                <w:rFonts w:asciiTheme="minorEastAsia" w:hAnsiTheme="minorEastAsia" w:cstheme="minorEastAsia"/>
                <w:sz w:val="24"/>
                <w:szCs w:val="24"/>
              </w:rPr>
            </w:pPr>
            <w:r>
              <w:rPr>
                <w:rFonts w:hint="eastAsia" w:ascii="宋体" w:hAnsi="宋体" w:cs="宋体"/>
                <w:szCs w:val="21"/>
              </w:rPr>
              <w:t>▲</w:t>
            </w:r>
            <w:r>
              <w:rPr>
                <w:rFonts w:hint="eastAsia" w:asciiTheme="minorEastAsia" w:hAnsiTheme="minorEastAsia" w:cstheme="minorEastAsia"/>
                <w:sz w:val="24"/>
                <w:szCs w:val="24"/>
              </w:rPr>
              <w:t>8.3物流数据：提供多国家区域的海运及空运物流数据，包括价格，时效，帮助学生进行相关物流成本测算，以便于提升商务数据运营及数据分析能力。</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8.4仓配数据：提供多国家区域的海外仓经营数据，包括租仓价格，尾程物流时效，物流订单破损率等，租仓价格费用以季度/每立方为单位通过图表呈现，帮助学生进行相关物流成本测算，以便于提升商务数据运营及数据分析能力。</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8.5汇率换算：提供多币种汇率换算，包括美元，英镑，卢布，日元，韩元等多币种汇率换算，帮助学生学习掌握汇率换算相关技能，合理制定商品价格，提高产品销售利润率。</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8.6采购管理：软件提供大量的商品数据给学生进行商品采购。采购商品信息包括（品牌、商品、成本价）等操作。</w:t>
            </w:r>
            <w:r>
              <w:rPr>
                <w:rFonts w:hint="eastAsia" w:asciiTheme="minorEastAsia" w:hAnsiTheme="minorEastAsia" w:cstheme="minorEastAsia"/>
                <w:sz w:val="24"/>
                <w:szCs w:val="24"/>
              </w:rPr>
              <w:br w:type="textWrapping"/>
            </w:r>
            <w:r>
              <w:rPr>
                <w:rFonts w:hint="eastAsia" w:ascii="宋体" w:hAnsi="宋体" w:cs="宋体"/>
                <w:szCs w:val="21"/>
              </w:rPr>
              <w:t>▲</w:t>
            </w:r>
            <w:r>
              <w:rPr>
                <w:rFonts w:hint="eastAsia" w:asciiTheme="minorEastAsia" w:hAnsiTheme="minorEastAsia" w:cstheme="minorEastAsia"/>
                <w:sz w:val="24"/>
                <w:szCs w:val="24"/>
              </w:rPr>
              <w:t xml:space="preserve"> 8.7商品管理：支持多国家、多仓储、多物流多商品管理。帮助学生学习同时掌握各个国家的商品数据分配上架销售管理等技能，合理指定商品的销售策略。</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8.8店铺经营：支持多国家区域多平台店铺开设，包括亚马逊，速卖通，Ebay，Lazada，Shopee，Shopify平台，店铺开设信息资料以系统内置方式添加，帮助学生了解学习商务数据分析平台注册开店流程。支持多店铺共同经营，并且整体经营以季度为单位，按照全年四个季度进行数据分析与运营，每个季度的销售利润会结算到下一个周期的初始资金中，最终以四季度最终的总利润作为恒定标准，帮助学生体验完整的商务数据分析平台销售流程，提升商务数据分析平台运营思维。</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9.店铺营销评测模块</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9.1软件具备多种类目的活动策划方案。</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■9.2店铺促销：学生可创建满减促销等店铺促销活动。并设置促销活动的名称、 优惠内容、商品等信息。</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9.3套装促销：可将多个商品打包成一个优惠套装进行促销销售。可设置单个商品的优惠金额及选定必买商品。</w:t>
            </w:r>
          </w:p>
          <w:p>
            <w:pPr>
              <w:widowControl/>
              <w:spacing w:line="360" w:lineRule="auto"/>
              <w:rPr>
                <w:rFonts w:asciiTheme="minorEastAsia" w:hAnsiTheme="minorEastAsia" w:cstheme="minorEastAsia"/>
                <w:sz w:val="24"/>
                <w:szCs w:val="24"/>
              </w:rPr>
            </w:pPr>
            <w:r>
              <w:rPr>
                <w:rFonts w:hint="eastAsia" w:ascii="宋体" w:hAnsi="宋体" w:cs="宋体"/>
                <w:szCs w:val="21"/>
              </w:rPr>
              <w:t>▲</w:t>
            </w:r>
            <w:r>
              <w:rPr>
                <w:rFonts w:hint="eastAsia" w:asciiTheme="minorEastAsia" w:hAnsiTheme="minorEastAsia" w:cstheme="minorEastAsia"/>
                <w:sz w:val="24"/>
                <w:szCs w:val="24"/>
              </w:rPr>
              <w:t>9.4优惠券：可创建店铺优惠券，设置优惠券名称、优惠门槛及选定商品是否参与。</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10.店铺引流评测模块</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■10.1展位广告趋势分析：通过数据横向对比趋势图将展位广告的趋势分析通过折线图的形式展现（展现次数、点击率、转化率）。</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10.2展位广告地区分布：通过列表排名的形式将展位广告在各区域的点击率、转化率等信息展示出来。展示区域涵盖商务数据分析平台主流国家以及部分地区，实现广告流量精准投放。</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10.3搜索广告趋势分析：通过数据横向对比趋势图将搜索广告的趋势分析通过折线图的形式展现（展现次数、点击率、转化率）。</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10.4搜索广告地区分布：通过列表排名的形式将搜索广告在各区域的点击率、转化率等信息展示出来。展示区域涵盖商务数据分析平台主流国家以及部分地区，实现广告流量精准投放。</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10.5展位广告热门搜索词：通过列表的形式将关键词、搜索量、平均出价、点击率、转化率等信息展示出来。</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10.6展位广告设置：可创建展位广告，设置广告单元的名称、通投出价、资源位（资源位名称、潜在买家数量、最低出价、平均出价、竞争热度、转化率、点击率）、定向推广设置（设置定向推广区域、定向推荐人群等信息）</w:t>
            </w:r>
            <w:r>
              <w:rPr>
                <w:rFonts w:hint="eastAsia" w:asciiTheme="minorEastAsia" w:hAnsiTheme="minorEastAsia" w:cstheme="minorEastAsia"/>
                <w:sz w:val="24"/>
                <w:szCs w:val="24"/>
              </w:rPr>
              <w:br w:type="textWrapping"/>
            </w:r>
            <w:r>
              <w:rPr>
                <w:rFonts w:hint="eastAsia" w:asciiTheme="minorEastAsia" w:hAnsiTheme="minorEastAsia" w:cstheme="minorEastAsia"/>
                <w:sz w:val="24"/>
                <w:szCs w:val="24"/>
              </w:rPr>
              <w:t>11.商务数据分析客户服务评测模块</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11.1学生可查看该机器人客户目前浏览的商品信息（商品标题、商品主图、商品详情页、商品价格)。</w:t>
            </w:r>
          </w:p>
          <w:p>
            <w:pPr>
              <w:widowControl/>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11.2软件通过学生回答的关键词自动判定学生答案的正确与否。从而评测学生的客户服务能力。</w:t>
            </w:r>
          </w:p>
          <w:p>
            <w:pPr>
              <w:widowControl/>
              <w:spacing w:line="360" w:lineRule="auto"/>
              <w:rPr>
                <w:rFonts w:ascii="宋体" w:hAnsi="宋体" w:eastAsia="宋体" w:cs="宋体"/>
                <w:kern w:val="0"/>
                <w:sz w:val="18"/>
                <w:szCs w:val="18"/>
              </w:rPr>
            </w:pPr>
            <w:r>
              <w:rPr>
                <w:rFonts w:hint="eastAsia" w:asciiTheme="minorEastAsia" w:hAnsiTheme="minorEastAsia" w:cstheme="minorEastAsia"/>
                <w:sz w:val="24"/>
                <w:szCs w:val="24"/>
              </w:rPr>
              <w:t>11.3 软件提供日语，韩语等小语种机器人提问，锻炼学生商务数据分析平台语言能力。</w:t>
            </w:r>
          </w:p>
        </w:tc>
        <w:tc>
          <w:tcPr>
            <w:tcW w:w="615" w:type="dxa"/>
            <w:shd w:val="clear" w:color="auto" w:fill="auto"/>
            <w:vAlign w:val="center"/>
          </w:tcPr>
          <w:p>
            <w:pPr>
              <w:spacing w:line="360" w:lineRule="auto"/>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套</w:t>
            </w:r>
          </w:p>
        </w:tc>
        <w:tc>
          <w:tcPr>
            <w:tcW w:w="465" w:type="dxa"/>
            <w:shd w:val="clear" w:color="auto" w:fill="auto"/>
            <w:vAlign w:val="center"/>
          </w:tcPr>
          <w:p>
            <w:pPr>
              <w:spacing w:line="360" w:lineRule="auto"/>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w:t>
            </w:r>
          </w:p>
        </w:tc>
        <w:tc>
          <w:tcPr>
            <w:tcW w:w="960" w:type="dxa"/>
            <w:shd w:val="clear" w:color="auto" w:fill="auto"/>
            <w:vAlign w:val="center"/>
          </w:tcPr>
          <w:p>
            <w:pPr>
              <w:spacing w:line="360" w:lineRule="auto"/>
              <w:jc w:val="center"/>
              <w:rPr>
                <w:rFonts w:hint="eastAsia" w:asciiTheme="minorEastAsia" w:hAnsiTheme="minorEastAsia" w:cstheme="minorEastAsia"/>
                <w:color w:val="000000"/>
                <w:sz w:val="24"/>
                <w:szCs w:val="24"/>
              </w:rPr>
            </w:pPr>
          </w:p>
        </w:tc>
        <w:tc>
          <w:tcPr>
            <w:tcW w:w="811" w:type="dxa"/>
            <w:shd w:val="clear" w:color="auto" w:fill="auto"/>
            <w:vAlign w:val="center"/>
          </w:tcPr>
          <w:p>
            <w:pPr>
              <w:spacing w:line="360" w:lineRule="auto"/>
              <w:jc w:val="center"/>
              <w:rPr>
                <w:rFonts w:hint="eastAsia" w:asciiTheme="minorEastAsia" w:hAnsiTheme="minorEastAsia" w:cstheme="minorEastAsia"/>
                <w:color w:val="000000"/>
                <w:sz w:val="24"/>
                <w:szCs w:val="24"/>
              </w:rPr>
            </w:pPr>
          </w:p>
        </w:tc>
      </w:tr>
    </w:tbl>
    <w:p>
      <w:pPr>
        <w:snapToGrid w:val="0"/>
        <w:spacing w:before="50" w:after="50"/>
        <w:jc w:val="center"/>
        <w:rPr>
          <w:rFonts w:ascii="宋体" w:hAnsi="宋体" w:cs="宋体"/>
          <w:color w:val="000000" w:themeColor="text1"/>
          <w:sz w:val="32"/>
          <w:szCs w:val="32"/>
          <w14:textFill>
            <w14:solidFill>
              <w14:schemeClr w14:val="tx1"/>
            </w14:solidFill>
          </w14:textFill>
        </w:rPr>
      </w:pPr>
    </w:p>
    <w:p>
      <w:pPr>
        <w:jc w:val="left"/>
        <w:rPr>
          <w:sz w:val="28"/>
          <w:szCs w:val="36"/>
        </w:rPr>
      </w:pPr>
      <w:r>
        <w:rPr>
          <w:rFonts w:hint="eastAsia"/>
          <w:sz w:val="28"/>
          <w:szCs w:val="36"/>
        </w:rPr>
        <w:t>投标单位：（公章）</w:t>
      </w:r>
    </w:p>
    <w:p>
      <w:pPr>
        <w:rPr>
          <w:rFonts w:hint="eastAsia" w:eastAsia="宋体"/>
          <w:sz w:val="28"/>
          <w:szCs w:val="36"/>
          <w:lang w:val="en-US" w:eastAsia="zh-CN"/>
        </w:rPr>
      </w:pPr>
      <w:r>
        <w:rPr>
          <w:rFonts w:hint="eastAsia"/>
          <w:sz w:val="28"/>
          <w:szCs w:val="36"/>
          <w:lang w:val="en-US" w:eastAsia="zh-CN"/>
        </w:rPr>
        <w:t>法定代表人（签章）：</w:t>
      </w:r>
    </w:p>
    <w:p>
      <w:pPr>
        <w:rPr>
          <w:rFonts w:hint="eastAsia"/>
          <w:sz w:val="28"/>
          <w:szCs w:val="36"/>
        </w:rPr>
      </w:pPr>
    </w:p>
    <w:p>
      <w:pPr>
        <w:rPr>
          <w:sz w:val="28"/>
          <w:szCs w:val="36"/>
        </w:rPr>
      </w:pPr>
      <w:r>
        <w:rPr>
          <w:rFonts w:hint="eastAsia"/>
          <w:sz w:val="28"/>
          <w:szCs w:val="36"/>
        </w:rPr>
        <w:t>投标单位联系人：           电话：</w:t>
      </w:r>
    </w:p>
    <w:p>
      <w:pPr>
        <w:rPr>
          <w:rFonts w:hint="eastAsia"/>
          <w:sz w:val="28"/>
          <w:szCs w:val="36"/>
        </w:rPr>
      </w:pPr>
      <w:r>
        <w:rPr>
          <w:rFonts w:hint="eastAsia"/>
          <w:sz w:val="28"/>
          <w:szCs w:val="36"/>
        </w:rPr>
        <w:t>投标单位地址：</w:t>
      </w:r>
    </w:p>
    <w:p>
      <w:pPr>
        <w:ind w:firstLine="4480" w:firstLineChars="1600"/>
        <w:rPr>
          <w:sz w:val="28"/>
          <w:szCs w:val="36"/>
        </w:rPr>
      </w:pPr>
      <w:r>
        <w:rPr>
          <w:rFonts w:hint="eastAsia"/>
          <w:sz w:val="28"/>
          <w:szCs w:val="36"/>
        </w:rPr>
        <w:t>日期：202</w:t>
      </w:r>
      <w:r>
        <w:rPr>
          <w:rFonts w:hint="eastAsia"/>
          <w:sz w:val="28"/>
          <w:szCs w:val="36"/>
          <w:lang w:val="en-US" w:eastAsia="zh-CN"/>
        </w:rPr>
        <w:t>3</w:t>
      </w:r>
      <w:r>
        <w:rPr>
          <w:rFonts w:hint="eastAsia"/>
          <w:sz w:val="28"/>
          <w:szCs w:val="36"/>
        </w:rPr>
        <w:t>年</w:t>
      </w:r>
      <w:r>
        <w:rPr>
          <w:rFonts w:hint="eastAsia"/>
          <w:sz w:val="28"/>
          <w:szCs w:val="36"/>
          <w:lang w:val="en-US" w:eastAsia="zh-CN"/>
        </w:rPr>
        <w:t xml:space="preserve">  </w:t>
      </w:r>
      <w:r>
        <w:rPr>
          <w:rFonts w:hint="eastAsia"/>
          <w:sz w:val="28"/>
          <w:szCs w:val="36"/>
        </w:rPr>
        <w:t>月</w:t>
      </w:r>
      <w:r>
        <w:rPr>
          <w:rFonts w:hint="eastAsia"/>
          <w:sz w:val="28"/>
          <w:szCs w:val="36"/>
          <w:lang w:val="en-US" w:eastAsia="zh-CN"/>
        </w:rPr>
        <w:t xml:space="preserve">  </w:t>
      </w:r>
      <w:r>
        <w:rPr>
          <w:rFonts w:hint="eastAsia"/>
          <w:sz w:val="28"/>
          <w:szCs w:val="36"/>
        </w:rPr>
        <w:t>日</w:t>
      </w:r>
    </w:p>
    <w:p>
      <w:pPr>
        <w:snapToGrid w:val="0"/>
        <w:spacing w:before="50" w:after="50"/>
        <w:jc w:val="center"/>
        <w:outlineLvl w:val="0"/>
        <w:rPr>
          <w:rFonts w:hint="eastAsia" w:ascii="宋体" w:hAnsi="宋体" w:cs="宋体"/>
          <w:color w:val="000000" w:themeColor="text1"/>
          <w:sz w:val="32"/>
          <w:szCs w:val="32"/>
          <w14:textFill>
            <w14:solidFill>
              <w14:schemeClr w14:val="tx1"/>
            </w14:solidFill>
          </w14:textFill>
        </w:rPr>
      </w:pPr>
      <w:bookmarkStart w:id="40" w:name="_Toc17355"/>
    </w:p>
    <w:p>
      <w:pPr>
        <w:snapToGrid w:val="0"/>
        <w:spacing w:before="50" w:after="50"/>
        <w:jc w:val="center"/>
        <w:outlineLvl w:val="0"/>
        <w:rPr>
          <w:rFonts w:hint="eastAsia" w:ascii="宋体" w:hAnsi="宋体" w:cs="宋体"/>
          <w:color w:val="000000" w:themeColor="text1"/>
          <w:sz w:val="32"/>
          <w:szCs w:val="32"/>
          <w14:textFill>
            <w14:solidFill>
              <w14:schemeClr w14:val="tx1"/>
            </w14:solidFill>
          </w14:textFill>
        </w:rPr>
      </w:pPr>
    </w:p>
    <w:bookmarkEnd w:id="40"/>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1" w:name="_Toc462564146"/>
      <w:bookmarkStart w:id="42" w:name="_Toc8363"/>
      <w:r>
        <w:rPr>
          <w:rFonts w:hint="eastAsia" w:ascii="宋体" w:hAnsi="宋体" w:cs="宋体"/>
          <w:color w:val="000000" w:themeColor="text1"/>
          <w:sz w:val="32"/>
          <w:szCs w:val="32"/>
          <w:lang w:val="en-US" w:eastAsia="zh-CN"/>
          <w14:textFill>
            <w14:solidFill>
              <w14:schemeClr w14:val="tx1"/>
            </w14:solidFill>
          </w14:textFill>
        </w:rPr>
        <w:t>七</w:t>
      </w:r>
      <w:r>
        <w:rPr>
          <w:rFonts w:hint="eastAsia" w:ascii="宋体" w:hAnsi="宋体" w:cs="宋体"/>
          <w:color w:val="000000" w:themeColor="text1"/>
          <w:sz w:val="32"/>
          <w:szCs w:val="32"/>
          <w14:textFill>
            <w14:solidFill>
              <w14:schemeClr w14:val="tx1"/>
            </w14:solidFill>
          </w14:textFill>
        </w:rPr>
        <w:t>、</w:t>
      </w:r>
      <w:bookmarkEnd w:id="41"/>
      <w:bookmarkEnd w:id="42"/>
      <w:bookmarkStart w:id="43" w:name="_格式2__法定代表人授权书"/>
      <w:bookmarkEnd w:id="43"/>
      <w:r>
        <w:rPr>
          <w:rFonts w:hint="eastAsia" w:ascii="宋体" w:hAnsi="宋体" w:cs="宋体"/>
          <w:color w:val="000000" w:themeColor="text1"/>
          <w:sz w:val="32"/>
          <w:szCs w:val="32"/>
          <w14:textFill>
            <w14:solidFill>
              <w14:schemeClr w14:val="tx1"/>
            </w14:solidFill>
          </w14:textFill>
        </w:rPr>
        <w:t>技术参数响应及偏离表（如有）</w:t>
      </w:r>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6"/>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4" w:name="_Toc20796"/>
      <w:r>
        <w:rPr>
          <w:rFonts w:hint="eastAsia" w:ascii="宋体" w:hAnsi="宋体" w:cs="宋体"/>
          <w:color w:val="000000" w:themeColor="text1"/>
          <w:sz w:val="32"/>
          <w:szCs w:val="32"/>
          <w14:textFill>
            <w14:solidFill>
              <w14:schemeClr w14:val="tx1"/>
            </w14:solidFill>
          </w14:textFill>
        </w:rPr>
        <w:t>八、商务条款响应及偏离表（如有）</w:t>
      </w:r>
      <w:bookmarkEnd w:id="44"/>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5" w:name="_Hlt26782999"/>
      <w:bookmarkEnd w:id="45"/>
      <w:bookmarkStart w:id="46" w:name="_Hlt26955066"/>
      <w:bookmarkEnd w:id="46"/>
      <w:bookmarkStart w:id="47" w:name="_Hlt26955056"/>
      <w:bookmarkEnd w:id="47"/>
      <w:bookmarkStart w:id="48" w:name="_Hlt26671374"/>
      <w:bookmarkEnd w:id="48"/>
      <w:bookmarkStart w:id="49" w:name="_Hlt26609391"/>
      <w:bookmarkEnd w:id="49"/>
      <w:bookmarkStart w:id="50" w:name="_Hlt26609389"/>
      <w:bookmarkEnd w:id="50"/>
      <w:bookmarkStart w:id="51" w:name="_Hlt26955064"/>
      <w:bookmarkEnd w:id="51"/>
      <w:bookmarkStart w:id="52" w:name="_Hlt24879081"/>
      <w:bookmarkEnd w:id="52"/>
      <w:bookmarkStart w:id="53" w:name="_Hlt26580838"/>
      <w:bookmarkEnd w:id="53"/>
      <w:bookmarkStart w:id="54" w:name="_Hlt26671343"/>
      <w:bookmarkEnd w:id="54"/>
      <w:bookmarkStart w:id="55" w:name="_Hlt26671372"/>
      <w:bookmarkEnd w:id="55"/>
    </w:p>
    <w:p>
      <w:pPr>
        <w:pStyle w:val="7"/>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32"/>
          <w:szCs w:val="32"/>
          <w14:textFill>
            <w14:solidFill>
              <w14:schemeClr w14:val="tx1"/>
            </w14:solidFill>
          </w14:textFill>
        </w:rPr>
        <w:t>九、技术方案、服务承诺等</w:t>
      </w: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Pr>
        <w:spacing w:line="460" w:lineRule="exact"/>
        <w:outlineLvl w:val="0"/>
        <w:rPr>
          <w:rFonts w:ascii="宋体" w:hAnsi="宋体" w:cs="宋体"/>
          <w:color w:val="000000" w:themeColor="text1"/>
          <w:sz w:val="32"/>
          <w14:textFill>
            <w14:solidFill>
              <w14:schemeClr w14:val="tx1"/>
            </w14:solidFill>
          </w14:textFill>
        </w:rPr>
      </w:pPr>
      <w:bookmarkStart w:id="56"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lang w:val="en-US" w:eastAsia="zh-CN"/>
          <w14:textFill>
            <w14:solidFill>
              <w14:schemeClr w14:val="tx1"/>
            </w14:solidFill>
          </w14:textFill>
        </w:rPr>
        <w:t>十</w:t>
      </w:r>
      <w:r>
        <w:rPr>
          <w:rFonts w:hint="eastAsia" w:ascii="宋体" w:hAnsi="宋体" w:cs="宋体"/>
          <w:color w:val="000000" w:themeColor="text1"/>
          <w:sz w:val="32"/>
          <w14:textFill>
            <w14:solidFill>
              <w14:schemeClr w14:val="tx1"/>
            </w14:solidFill>
          </w14:textFill>
        </w:rPr>
        <w:t>、盐城市政府采购事前信用承诺书</w:t>
      </w:r>
      <w:bookmarkEnd w:id="56"/>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7" w:name="_Toc1790"/>
      <w:r>
        <w:rPr>
          <w:rFonts w:hint="eastAsia" w:ascii="宋体" w:hAnsi="宋体" w:cs="宋体"/>
          <w:color w:val="000000" w:themeColor="text1"/>
          <w:sz w:val="24"/>
          <w:szCs w:val="24"/>
          <w14:textFill>
            <w14:solidFill>
              <w14:schemeClr w14:val="tx1"/>
            </w14:solidFill>
          </w14:textFill>
        </w:rPr>
        <w:t>法定代表人签名：</w:t>
      </w:r>
      <w:bookmarkEnd w:id="57"/>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8" w:name="_Toc27882"/>
      <w:r>
        <w:rPr>
          <w:rFonts w:hint="eastAsia" w:ascii="宋体" w:hAnsi="宋体" w:cs="宋体"/>
          <w:color w:val="000000" w:themeColor="text1"/>
          <w:sz w:val="24"/>
          <w:szCs w:val="24"/>
          <w14:textFill>
            <w14:solidFill>
              <w14:schemeClr w14:val="tx1"/>
            </w14:solidFill>
          </w14:textFill>
        </w:rPr>
        <w:t>单位名称（盖章）：</w:t>
      </w:r>
      <w:bookmarkEnd w:id="58"/>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9" w:name="_Toc385"/>
      <w:r>
        <w:rPr>
          <w:rFonts w:hint="eastAsia" w:ascii="宋体" w:hAnsi="宋体" w:cs="宋体"/>
          <w:color w:val="000000" w:themeColor="text1"/>
          <w:sz w:val="24"/>
          <w:szCs w:val="24"/>
          <w14:textFill>
            <w14:solidFill>
              <w14:schemeClr w14:val="tx1"/>
            </w14:solidFill>
          </w14:textFill>
        </w:rPr>
        <w:t>年    月    日</w:t>
      </w:r>
      <w:bookmarkEnd w:id="59"/>
    </w:p>
    <w:p>
      <w:pPr>
        <w:pStyle w:val="141"/>
        <w:jc w:val="both"/>
        <w:rPr>
          <w:rStyle w:val="47"/>
          <w:rFonts w:ascii="宋体" w:hAnsi="宋体" w:cs="宋体"/>
          <w:color w:val="auto"/>
        </w:rPr>
      </w:pPr>
    </w:p>
    <w:sectPr>
      <w:footerReference r:id="rId14" w:type="first"/>
      <w:headerReference r:id="rId12" w:type="default"/>
      <w:footerReference r:id="rId13"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27</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27</w:t>
                    </w:r>
                    <w: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47</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隶书" w:hAnsi="隶书" w:eastAsia="隶书" w:cs="隶书"/>
        <w:sz w:val="24"/>
        <w:szCs w:val="24"/>
      </w:rPr>
    </w:pPr>
    <w:r>
      <w:rPr>
        <w:rFonts w:hint="eastAsia" w:ascii="隶书" w:hAnsi="隶书" w:eastAsia="隶书" w:cs="隶书"/>
        <w:sz w:val="24"/>
        <w:szCs w:val="24"/>
      </w:rPr>
      <w:t>2022-</w:t>
    </w:r>
    <w:r>
      <w:rPr>
        <w:rFonts w:hint="eastAsia" w:ascii="隶书" w:hAnsi="隶书" w:eastAsia="隶书" w:cs="隶书"/>
        <w:sz w:val="24"/>
        <w:szCs w:val="24"/>
        <w:lang w:eastAsia="zh-CN"/>
      </w:rPr>
      <w:t>031W</w:t>
    </w:r>
    <w:r>
      <w:rPr>
        <w:rFonts w:hint="eastAsia" w:ascii="隶书" w:hAnsi="隶书" w:eastAsia="隶书" w:cs="隶书"/>
        <w:sz w:val="24"/>
        <w:szCs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2023-</w:t>
    </w:r>
    <w:r>
      <w:rPr>
        <w:rFonts w:hint="eastAsia" w:ascii="隶书" w:hAnsi="隶书" w:eastAsia="隶书" w:cs="隶书"/>
        <w:sz w:val="24"/>
        <w:szCs w:val="24"/>
        <w:lang w:eastAsia="zh-CN"/>
      </w:rPr>
      <w:t>031W</w:t>
    </w:r>
    <w:r>
      <w:rPr>
        <w:rFonts w:hint="eastAsia" w:ascii="隶书" w:hAnsi="隶书" w:eastAsia="隶书" w:cs="隶书"/>
        <w:sz w:val="24"/>
        <w:szCs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rPr>
        <w:rFonts w:ascii="隶书" w:hAnsi="隶书" w:eastAsia="隶书" w:cs="隶书"/>
        <w:sz w:val="24"/>
        <w:szCs w:val="24"/>
      </w:rPr>
    </w:pPr>
    <w:r>
      <w:rPr>
        <w:rFonts w:hint="eastAsia" w:ascii="隶书" w:hAnsi="隶书" w:eastAsia="隶书" w:cs="隶书"/>
        <w:sz w:val="24"/>
        <w:szCs w:val="24"/>
      </w:rPr>
      <w:t>2023-</w:t>
    </w:r>
    <w:r>
      <w:rPr>
        <w:rFonts w:hint="eastAsia" w:ascii="隶书" w:hAnsi="隶书" w:eastAsia="隶书" w:cs="隶书"/>
        <w:sz w:val="24"/>
        <w:szCs w:val="24"/>
        <w:lang w:eastAsia="zh-CN"/>
      </w:rPr>
      <w:t>031W</w:t>
    </w:r>
    <w:r>
      <w:rPr>
        <w:rFonts w:hint="eastAsia" w:ascii="隶书" w:hAnsi="隶书" w:eastAsia="隶书" w:cs="隶书"/>
        <w:sz w:val="24"/>
        <w:szCs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rPr>
      <w:t>2023-</w:t>
    </w:r>
    <w:r>
      <w:rPr>
        <w:rFonts w:hint="eastAsia" w:ascii="Times New Roman" w:hAnsi="Times New Roman" w:eastAsia="隶书" w:cs="Times New Roman"/>
        <w:spacing w:val="40"/>
        <w:kern w:val="2"/>
        <w:sz w:val="21"/>
        <w:lang w:eastAsia="zh-CN"/>
      </w:rPr>
      <w:t>031W</w:t>
    </w:r>
    <w:r>
      <w:rPr>
        <w:rFonts w:hint="eastAsia" w:ascii="Times New Roman" w:hAnsi="隶书" w:eastAsia="隶书" w:cs="隶书"/>
        <w:color w:val="000000"/>
        <w:spacing w:val="40"/>
        <w:kern w:val="2"/>
        <w:sz w:val="21"/>
      </w:rPr>
      <w:t>招标文件</w:t>
    </w:r>
  </w:p>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w:t>
    </w:r>
    <w:r>
      <w:rPr>
        <w:rFonts w:hint="eastAsia" w:ascii="隶书" w:hAnsi="隶书" w:eastAsia="隶书" w:cs="隶书"/>
        <w:sz w:val="24"/>
        <w:szCs w:val="24"/>
        <w:lang w:val="en-US" w:eastAsia="zh-CN"/>
      </w:rPr>
      <w:t>3</w:t>
    </w:r>
    <w:r>
      <w:rPr>
        <w:rFonts w:hint="eastAsia" w:ascii="隶书" w:hAnsi="隶书" w:eastAsia="隶书" w:cs="隶书"/>
        <w:sz w:val="24"/>
        <w:szCs w:val="24"/>
      </w:rPr>
      <w:t>-</w:t>
    </w:r>
    <w:r>
      <w:rPr>
        <w:rFonts w:hint="eastAsia" w:ascii="隶书" w:hAnsi="隶书" w:eastAsia="隶书" w:cs="隶书"/>
        <w:sz w:val="24"/>
        <w:szCs w:val="24"/>
        <w:lang w:eastAsia="zh-CN"/>
      </w:rPr>
      <w:t>031W</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717ED7"/>
    <w:multiLevelType w:val="singleLevel"/>
    <w:tmpl w:val="BE717ED7"/>
    <w:lvl w:ilvl="0" w:tentative="0">
      <w:start w:val="1"/>
      <w:numFmt w:val="decimal"/>
      <w:lvlText w:val="%1."/>
      <w:lvlJc w:val="left"/>
      <w:pPr>
        <w:tabs>
          <w:tab w:val="left" w:pos="312"/>
        </w:tabs>
      </w:pPr>
    </w:lvl>
  </w:abstractNum>
  <w:abstractNum w:abstractNumId="1">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2">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4">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rawingGridVerticalSpacing w:val="149"/>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zBiZTYyYTQ5ODVmZWE4MzI5ZDNkOGMwYTkzMDIifQ=="/>
  </w:docVars>
  <w:rsids>
    <w:rsidRoot w:val="00F868A9"/>
    <w:rsid w:val="00003AB4"/>
    <w:rsid w:val="00045760"/>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F3B21"/>
    <w:rsid w:val="005277A9"/>
    <w:rsid w:val="005352A8"/>
    <w:rsid w:val="00544757"/>
    <w:rsid w:val="005B06C2"/>
    <w:rsid w:val="005B2CFB"/>
    <w:rsid w:val="005F3329"/>
    <w:rsid w:val="00606780"/>
    <w:rsid w:val="00623144"/>
    <w:rsid w:val="006308FE"/>
    <w:rsid w:val="00637636"/>
    <w:rsid w:val="006B0AC7"/>
    <w:rsid w:val="006C13AB"/>
    <w:rsid w:val="006E3A7B"/>
    <w:rsid w:val="00721560"/>
    <w:rsid w:val="00780C34"/>
    <w:rsid w:val="00782B4B"/>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43EF"/>
    <w:rsid w:val="0097078B"/>
    <w:rsid w:val="0099206B"/>
    <w:rsid w:val="009C11B1"/>
    <w:rsid w:val="00A1183C"/>
    <w:rsid w:val="00A41EC5"/>
    <w:rsid w:val="00A51F32"/>
    <w:rsid w:val="00A6255B"/>
    <w:rsid w:val="00AA7C70"/>
    <w:rsid w:val="00AE15AF"/>
    <w:rsid w:val="00AE261D"/>
    <w:rsid w:val="00AF2F44"/>
    <w:rsid w:val="00AF368F"/>
    <w:rsid w:val="00AF482F"/>
    <w:rsid w:val="00B357E1"/>
    <w:rsid w:val="00B715BD"/>
    <w:rsid w:val="00B719DD"/>
    <w:rsid w:val="00B8533E"/>
    <w:rsid w:val="00BA7076"/>
    <w:rsid w:val="00BC3E9F"/>
    <w:rsid w:val="00C05334"/>
    <w:rsid w:val="00C157C0"/>
    <w:rsid w:val="00C31CC3"/>
    <w:rsid w:val="00C37A67"/>
    <w:rsid w:val="00C945B7"/>
    <w:rsid w:val="00CB1BB5"/>
    <w:rsid w:val="00CC6812"/>
    <w:rsid w:val="00CC72B1"/>
    <w:rsid w:val="00CD691E"/>
    <w:rsid w:val="00D358BD"/>
    <w:rsid w:val="00D57961"/>
    <w:rsid w:val="00D613B4"/>
    <w:rsid w:val="00D676B7"/>
    <w:rsid w:val="00D71667"/>
    <w:rsid w:val="00D7365D"/>
    <w:rsid w:val="00D75F94"/>
    <w:rsid w:val="00DD536A"/>
    <w:rsid w:val="00DE7A25"/>
    <w:rsid w:val="00DF61E5"/>
    <w:rsid w:val="00E0626D"/>
    <w:rsid w:val="00E124F9"/>
    <w:rsid w:val="00E4006C"/>
    <w:rsid w:val="00E675DD"/>
    <w:rsid w:val="00E742E3"/>
    <w:rsid w:val="00E918E1"/>
    <w:rsid w:val="00E9328D"/>
    <w:rsid w:val="00EA1A99"/>
    <w:rsid w:val="00EA2ECC"/>
    <w:rsid w:val="00EC1238"/>
    <w:rsid w:val="00EE1E73"/>
    <w:rsid w:val="00F05A81"/>
    <w:rsid w:val="00F3123B"/>
    <w:rsid w:val="00F5340F"/>
    <w:rsid w:val="00F539A2"/>
    <w:rsid w:val="00F661FE"/>
    <w:rsid w:val="00F66810"/>
    <w:rsid w:val="00F868A9"/>
    <w:rsid w:val="00F944E6"/>
    <w:rsid w:val="00FA774C"/>
    <w:rsid w:val="00FA7AFD"/>
    <w:rsid w:val="00FD0CEF"/>
    <w:rsid w:val="00FE6BDE"/>
    <w:rsid w:val="00FF1275"/>
    <w:rsid w:val="00FF194A"/>
    <w:rsid w:val="00FF1E0C"/>
    <w:rsid w:val="01A15B08"/>
    <w:rsid w:val="01AF4254"/>
    <w:rsid w:val="020866C9"/>
    <w:rsid w:val="02094A42"/>
    <w:rsid w:val="031F6792"/>
    <w:rsid w:val="048A02DF"/>
    <w:rsid w:val="05E53B14"/>
    <w:rsid w:val="06AA3A95"/>
    <w:rsid w:val="077C4CBC"/>
    <w:rsid w:val="08677D62"/>
    <w:rsid w:val="08C118B6"/>
    <w:rsid w:val="08FC324B"/>
    <w:rsid w:val="0AE41970"/>
    <w:rsid w:val="0BA17C72"/>
    <w:rsid w:val="0D7B4325"/>
    <w:rsid w:val="0E261538"/>
    <w:rsid w:val="0F5541A7"/>
    <w:rsid w:val="10837167"/>
    <w:rsid w:val="11195798"/>
    <w:rsid w:val="11C53F90"/>
    <w:rsid w:val="11F94916"/>
    <w:rsid w:val="12082FD7"/>
    <w:rsid w:val="13165211"/>
    <w:rsid w:val="134F427F"/>
    <w:rsid w:val="1394626A"/>
    <w:rsid w:val="15376E13"/>
    <w:rsid w:val="15EB1115"/>
    <w:rsid w:val="18041C24"/>
    <w:rsid w:val="18AE66DE"/>
    <w:rsid w:val="190453A1"/>
    <w:rsid w:val="19B05279"/>
    <w:rsid w:val="19D21F7E"/>
    <w:rsid w:val="1B2A6182"/>
    <w:rsid w:val="1B336F50"/>
    <w:rsid w:val="1B7B3068"/>
    <w:rsid w:val="1BC2228E"/>
    <w:rsid w:val="1BCB2C50"/>
    <w:rsid w:val="1C475CCD"/>
    <w:rsid w:val="1C4A5552"/>
    <w:rsid w:val="1C7D77A6"/>
    <w:rsid w:val="1C9B22E3"/>
    <w:rsid w:val="1DA73FC9"/>
    <w:rsid w:val="1DEF65CF"/>
    <w:rsid w:val="1E9675D8"/>
    <w:rsid w:val="1EBA0E38"/>
    <w:rsid w:val="1F2B6305"/>
    <w:rsid w:val="20D6799C"/>
    <w:rsid w:val="21F8049E"/>
    <w:rsid w:val="230A6FF9"/>
    <w:rsid w:val="23B833C4"/>
    <w:rsid w:val="24313F27"/>
    <w:rsid w:val="24B6415E"/>
    <w:rsid w:val="25593628"/>
    <w:rsid w:val="25795E15"/>
    <w:rsid w:val="2580449D"/>
    <w:rsid w:val="25963607"/>
    <w:rsid w:val="25CA7E76"/>
    <w:rsid w:val="26E77117"/>
    <w:rsid w:val="27845BBD"/>
    <w:rsid w:val="27994014"/>
    <w:rsid w:val="27C52CB5"/>
    <w:rsid w:val="27F35805"/>
    <w:rsid w:val="2805529A"/>
    <w:rsid w:val="284E1359"/>
    <w:rsid w:val="28DC1054"/>
    <w:rsid w:val="2C8D1691"/>
    <w:rsid w:val="2D433E79"/>
    <w:rsid w:val="2D65606C"/>
    <w:rsid w:val="2EB102D0"/>
    <w:rsid w:val="2ED17DCD"/>
    <w:rsid w:val="2EFB2475"/>
    <w:rsid w:val="2F1F4980"/>
    <w:rsid w:val="3076600E"/>
    <w:rsid w:val="307F7677"/>
    <w:rsid w:val="31176B77"/>
    <w:rsid w:val="31205C09"/>
    <w:rsid w:val="35877A81"/>
    <w:rsid w:val="359A7184"/>
    <w:rsid w:val="3744261E"/>
    <w:rsid w:val="3872122D"/>
    <w:rsid w:val="387555EA"/>
    <w:rsid w:val="38CF3E86"/>
    <w:rsid w:val="39755785"/>
    <w:rsid w:val="3A8C4051"/>
    <w:rsid w:val="3B5326F5"/>
    <w:rsid w:val="3BCB58D4"/>
    <w:rsid w:val="3E0024E3"/>
    <w:rsid w:val="3E037FB0"/>
    <w:rsid w:val="3E0554C3"/>
    <w:rsid w:val="3E0702BE"/>
    <w:rsid w:val="3F183ABD"/>
    <w:rsid w:val="4032153F"/>
    <w:rsid w:val="40396E60"/>
    <w:rsid w:val="404E3DFB"/>
    <w:rsid w:val="4142108B"/>
    <w:rsid w:val="41D76922"/>
    <w:rsid w:val="42557B5A"/>
    <w:rsid w:val="427B4E0F"/>
    <w:rsid w:val="44C30D5C"/>
    <w:rsid w:val="459D47D3"/>
    <w:rsid w:val="461012F9"/>
    <w:rsid w:val="468F36CE"/>
    <w:rsid w:val="472C4FB8"/>
    <w:rsid w:val="477544A9"/>
    <w:rsid w:val="488F2B38"/>
    <w:rsid w:val="4ABE6E0A"/>
    <w:rsid w:val="4AFB3500"/>
    <w:rsid w:val="4CDF4FD7"/>
    <w:rsid w:val="4D2F7C0C"/>
    <w:rsid w:val="4D8959A6"/>
    <w:rsid w:val="4E703810"/>
    <w:rsid w:val="4FC31F86"/>
    <w:rsid w:val="4FEA69E5"/>
    <w:rsid w:val="51D33759"/>
    <w:rsid w:val="534665F2"/>
    <w:rsid w:val="53582700"/>
    <w:rsid w:val="53D00760"/>
    <w:rsid w:val="53DB1BAB"/>
    <w:rsid w:val="54C806C5"/>
    <w:rsid w:val="56043F54"/>
    <w:rsid w:val="5B570B4A"/>
    <w:rsid w:val="5BE80287"/>
    <w:rsid w:val="5C01420A"/>
    <w:rsid w:val="5C1127CB"/>
    <w:rsid w:val="5C172F4C"/>
    <w:rsid w:val="5C2B17E4"/>
    <w:rsid w:val="5C2B35EA"/>
    <w:rsid w:val="5CAB212A"/>
    <w:rsid w:val="5CCD4DBA"/>
    <w:rsid w:val="5D51151E"/>
    <w:rsid w:val="5E284F41"/>
    <w:rsid w:val="5FE20012"/>
    <w:rsid w:val="5FF4555F"/>
    <w:rsid w:val="60FB0A31"/>
    <w:rsid w:val="61A26709"/>
    <w:rsid w:val="620339A9"/>
    <w:rsid w:val="620E4996"/>
    <w:rsid w:val="622D342E"/>
    <w:rsid w:val="623936FD"/>
    <w:rsid w:val="6303194F"/>
    <w:rsid w:val="63483C8F"/>
    <w:rsid w:val="63E15DFA"/>
    <w:rsid w:val="63E27DDC"/>
    <w:rsid w:val="640D6BEF"/>
    <w:rsid w:val="650125BE"/>
    <w:rsid w:val="65FB497A"/>
    <w:rsid w:val="67E64767"/>
    <w:rsid w:val="681206DC"/>
    <w:rsid w:val="687674CE"/>
    <w:rsid w:val="689E2536"/>
    <w:rsid w:val="68F024D8"/>
    <w:rsid w:val="68F142E6"/>
    <w:rsid w:val="69142D6C"/>
    <w:rsid w:val="692A771C"/>
    <w:rsid w:val="6940082B"/>
    <w:rsid w:val="6A984F03"/>
    <w:rsid w:val="6ADF6879"/>
    <w:rsid w:val="6B08451F"/>
    <w:rsid w:val="6BA77477"/>
    <w:rsid w:val="6BB04F86"/>
    <w:rsid w:val="6D05497A"/>
    <w:rsid w:val="6EB62D31"/>
    <w:rsid w:val="6F370BF8"/>
    <w:rsid w:val="712C0DAB"/>
    <w:rsid w:val="716D77F8"/>
    <w:rsid w:val="72BA3B44"/>
    <w:rsid w:val="72F77251"/>
    <w:rsid w:val="73383726"/>
    <w:rsid w:val="73E906CA"/>
    <w:rsid w:val="74A5063C"/>
    <w:rsid w:val="74F57373"/>
    <w:rsid w:val="752F59CE"/>
    <w:rsid w:val="756048F2"/>
    <w:rsid w:val="758F5CF3"/>
    <w:rsid w:val="76BE394D"/>
    <w:rsid w:val="76CB0355"/>
    <w:rsid w:val="76E30B32"/>
    <w:rsid w:val="7710100F"/>
    <w:rsid w:val="78B0457A"/>
    <w:rsid w:val="797D5EA1"/>
    <w:rsid w:val="7B2D3BB7"/>
    <w:rsid w:val="7B4231CA"/>
    <w:rsid w:val="7B545202"/>
    <w:rsid w:val="7C14555E"/>
    <w:rsid w:val="7E514D2D"/>
    <w:rsid w:val="7E753B3C"/>
    <w:rsid w:val="7F9A13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5">
    <w:name w:val="heading 2"/>
    <w:basedOn w:val="4"/>
    <w:next w:val="1"/>
    <w:qFormat/>
    <w:uiPriority w:val="0"/>
    <w:pPr>
      <w:keepLines/>
      <w:spacing w:before="260" w:after="260" w:line="416" w:lineRule="auto"/>
      <w:outlineLvl w:val="1"/>
    </w:pPr>
    <w:rPr>
      <w:rFonts w:ascii="Arial" w:hAnsi="Arial" w:eastAsia="幼圆" w:cs="Arial"/>
      <w:sz w:val="44"/>
      <w:szCs w:val="44"/>
    </w:rPr>
  </w:style>
  <w:style w:type="paragraph" w:styleId="6">
    <w:name w:val="heading 3"/>
    <w:basedOn w:val="1"/>
    <w:next w:val="7"/>
    <w:qFormat/>
    <w:uiPriority w:val="1"/>
    <w:pPr>
      <w:spacing w:line="357" w:lineRule="exact"/>
      <w:ind w:left="774"/>
      <w:outlineLvl w:val="2"/>
    </w:pPr>
    <w:rPr>
      <w:b/>
      <w:bCs/>
      <w:sz w:val="28"/>
      <w:szCs w:val="28"/>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ascii="宋体" w:hAnsi="宋体" w:eastAsia="宋体"/>
      <w:sz w:val="21"/>
      <w:szCs w:val="20"/>
    </w:rPr>
  </w:style>
  <w:style w:type="paragraph" w:styleId="3">
    <w:name w:val="Body Text Indent"/>
    <w:basedOn w:val="1"/>
    <w:qFormat/>
    <w:uiPriority w:val="0"/>
    <w:pPr>
      <w:ind w:firstLine="645"/>
    </w:pPr>
    <w:rPr>
      <w:rFonts w:ascii="楷体_GB2312" w:eastAsia="楷体_GB2312"/>
      <w:sz w:val="32"/>
      <w:szCs w:val="32"/>
    </w:rPr>
  </w:style>
  <w:style w:type="paragraph" w:styleId="7">
    <w:name w:val="Normal Indent"/>
    <w:basedOn w:val="1"/>
    <w:qFormat/>
    <w:uiPriority w:val="0"/>
    <w:pPr>
      <w:ind w:firstLine="420"/>
    </w:pPr>
  </w:style>
  <w:style w:type="paragraph" w:styleId="9">
    <w:name w:val="Body Text"/>
    <w:basedOn w:val="1"/>
    <w:next w:val="1"/>
    <w:qFormat/>
    <w:uiPriority w:val="1"/>
    <w:rPr>
      <w:sz w:val="28"/>
      <w:szCs w:val="28"/>
    </w:rPr>
  </w:style>
  <w:style w:type="paragraph" w:styleId="10">
    <w:name w:val="Block Text"/>
    <w:basedOn w:val="1"/>
    <w:qFormat/>
    <w:uiPriority w:val="99"/>
    <w:pPr>
      <w:spacing w:after="120"/>
      <w:ind w:left="1440" w:leftChars="700" w:right="1440" w:rightChars="700"/>
    </w:pPr>
  </w:style>
  <w:style w:type="paragraph" w:styleId="11">
    <w:name w:val="index 4"/>
    <w:basedOn w:val="1"/>
    <w:next w:val="1"/>
    <w:unhideWhenUsed/>
    <w:qFormat/>
    <w:uiPriority w:val="99"/>
    <w:pPr>
      <w:ind w:left="600" w:leftChars="600"/>
    </w:pPr>
    <w:rPr>
      <w:rFonts w:ascii="Verdana" w:hAnsi="Verdana"/>
      <w:szCs w:val="20"/>
    </w:rPr>
  </w:style>
  <w:style w:type="paragraph" w:styleId="12">
    <w:name w:val="Plain Text"/>
    <w:basedOn w:val="1"/>
    <w:qFormat/>
    <w:uiPriority w:val="0"/>
    <w:rPr>
      <w:rFonts w:ascii="宋体" w:hAnsi="Courier New"/>
    </w:rPr>
  </w:style>
  <w:style w:type="paragraph" w:styleId="13">
    <w:name w:val="Date"/>
    <w:basedOn w:val="1"/>
    <w:next w:val="1"/>
    <w:qFormat/>
    <w:uiPriority w:val="0"/>
    <w:rPr>
      <w:sz w:val="24"/>
      <w:szCs w:val="24"/>
    </w:rPr>
  </w:style>
  <w:style w:type="paragraph" w:styleId="14">
    <w:name w:val="Body Text Indent 2"/>
    <w:basedOn w:val="1"/>
    <w:qFormat/>
    <w:uiPriority w:val="0"/>
    <w:pPr>
      <w:ind w:firstLine="560" w:firstLineChars="200"/>
    </w:pPr>
    <w:rPr>
      <w:rFonts w:ascii="宋体" w:hAnsi="宋体" w:cs="Times New Roman"/>
      <w:sz w:val="28"/>
    </w:rPr>
  </w:style>
  <w:style w:type="paragraph" w:styleId="15">
    <w:name w:val="Balloon Text"/>
    <w:basedOn w:val="1"/>
    <w:link w:val="149"/>
    <w:qFormat/>
    <w:uiPriority w:val="0"/>
    <w:rPr>
      <w:sz w:val="18"/>
      <w:szCs w:val="18"/>
    </w:rPr>
  </w:style>
  <w:style w:type="paragraph" w:styleId="16">
    <w:name w:val="footer"/>
    <w:basedOn w:val="1"/>
    <w:link w:val="76"/>
    <w:qFormat/>
    <w:uiPriority w:val="0"/>
    <w:pPr>
      <w:tabs>
        <w:tab w:val="center" w:pos="4153"/>
        <w:tab w:val="right" w:pos="8306"/>
      </w:tabs>
      <w:snapToGrid w:val="0"/>
      <w:jc w:val="left"/>
    </w:pPr>
    <w:rPr>
      <w:sz w:val="18"/>
      <w:szCs w:val="18"/>
    </w:rPr>
  </w:style>
  <w:style w:type="paragraph" w:styleId="17">
    <w:name w:val="envelope return"/>
    <w:basedOn w:val="1"/>
    <w:qFormat/>
    <w:uiPriority w:val="0"/>
    <w:pPr>
      <w:snapToGrid w:val="0"/>
    </w:pPr>
    <w:rPr>
      <w:rFonts w:ascii="Arial" w:hAnsi="Arial"/>
    </w:rPr>
  </w:style>
  <w:style w:type="paragraph" w:styleId="18">
    <w:name w:val="header"/>
    <w:basedOn w:val="1"/>
    <w:link w:val="77"/>
    <w:qFormat/>
    <w:uiPriority w:val="0"/>
    <w:pPr>
      <w:pBdr>
        <w:bottom w:val="single" w:color="000000" w:sz="6" w:space="1"/>
      </w:pBdr>
      <w:tabs>
        <w:tab w:val="center" w:pos="4153"/>
        <w:tab w:val="right" w:pos="8306"/>
      </w:tabs>
      <w:snapToGrid w:val="0"/>
      <w:jc w:val="center"/>
    </w:pPr>
    <w:rPr>
      <w:sz w:val="18"/>
      <w:szCs w:val="18"/>
    </w:rPr>
  </w:style>
  <w:style w:type="paragraph" w:styleId="19">
    <w:name w:val="List"/>
    <w:basedOn w:val="1"/>
    <w:qFormat/>
    <w:uiPriority w:val="0"/>
    <w:pPr>
      <w:ind w:left="200" w:hanging="200" w:hangingChars="200"/>
    </w:pPr>
  </w:style>
  <w:style w:type="paragraph" w:styleId="20">
    <w:name w:val="Normal (Web)"/>
    <w:basedOn w:val="1"/>
    <w:qFormat/>
    <w:uiPriority w:val="99"/>
    <w:pPr>
      <w:spacing w:before="100" w:beforeAutospacing="1" w:after="100" w:afterAutospacing="1"/>
      <w:jc w:val="left"/>
    </w:pPr>
    <w:rPr>
      <w:rFonts w:ascii="宋体" w:hAnsi="宋体" w:cs="宋体"/>
      <w:kern w:val="0"/>
      <w:sz w:val="24"/>
    </w:rPr>
  </w:style>
  <w:style w:type="paragraph" w:styleId="21">
    <w:name w:val="Body Text First Indent"/>
    <w:basedOn w:val="9"/>
    <w:qFormat/>
    <w:uiPriority w:val="99"/>
    <w:pPr>
      <w:ind w:firstLine="420" w:firstLineChars="100"/>
    </w:p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rFonts w:cs="Times New Roman"/>
      <w:b/>
      <w:bCs/>
    </w:rPr>
  </w:style>
  <w:style w:type="character" w:styleId="26">
    <w:name w:val="page number"/>
    <w:basedOn w:val="24"/>
    <w:qFormat/>
    <w:uiPriority w:val="0"/>
  </w:style>
  <w:style w:type="character" w:styleId="27">
    <w:name w:val="FollowedHyperlink"/>
    <w:qFormat/>
    <w:uiPriority w:val="0"/>
    <w:rPr>
      <w:color w:val="800080"/>
    </w:rPr>
  </w:style>
  <w:style w:type="character" w:styleId="28">
    <w:name w:val="Emphasis"/>
    <w:qFormat/>
    <w:uiPriority w:val="0"/>
  </w:style>
  <w:style w:type="character" w:styleId="29">
    <w:name w:val="Hyperlink"/>
    <w:qFormat/>
    <w:uiPriority w:val="0"/>
    <w:rPr>
      <w:color w:val="0000FF"/>
    </w:rPr>
  </w:style>
  <w:style w:type="paragraph" w:customStyle="1" w:styleId="3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qFormat/>
    <w:uiPriority w:val="0"/>
    <w:pPr>
      <w:spacing w:after="120"/>
      <w:ind w:left="1440" w:leftChars="700" w:right="1440" w:rightChars="700"/>
    </w:pPr>
  </w:style>
  <w:style w:type="paragraph" w:customStyle="1" w:styleId="33">
    <w:name w:val="一级条标题"/>
    <w:basedOn w:val="34"/>
    <w:next w:val="3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qFormat/>
    <w:uiPriority w:val="0"/>
    <w:pPr>
      <w:keepNext/>
      <w:jc w:val="center"/>
    </w:pPr>
    <w:rPr>
      <w:rFonts w:ascii="楷体_GB2312" w:eastAsia="楷体_GB2312"/>
      <w:sz w:val="28"/>
      <w:szCs w:val="28"/>
    </w:rPr>
  </w:style>
  <w:style w:type="paragraph" w:customStyle="1" w:styleId="38">
    <w:name w:val="Heading2"/>
    <w:basedOn w:val="1"/>
    <w:next w:val="39"/>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qFormat/>
    <w:uiPriority w:val="0"/>
    <w:pPr>
      <w:ind w:firstLine="420"/>
    </w:pPr>
  </w:style>
  <w:style w:type="paragraph" w:customStyle="1" w:styleId="40">
    <w:name w:val="Heading3"/>
    <w:basedOn w:val="1"/>
    <w:next w:val="39"/>
    <w:link w:val="68"/>
    <w:qFormat/>
    <w:uiPriority w:val="0"/>
    <w:pPr>
      <w:keepNext/>
      <w:keepLines/>
      <w:spacing w:before="260" w:after="260" w:line="416" w:lineRule="auto"/>
    </w:pPr>
    <w:rPr>
      <w:rFonts w:cs="Times New Roman"/>
      <w:b/>
      <w:bCs/>
      <w:sz w:val="32"/>
      <w:szCs w:val="32"/>
    </w:rPr>
  </w:style>
  <w:style w:type="paragraph" w:customStyle="1" w:styleId="41">
    <w:name w:val="Heading4"/>
    <w:basedOn w:val="1"/>
    <w:next w:val="39"/>
    <w:link w:val="69"/>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qFormat/>
    <w:uiPriority w:val="0"/>
    <w:pPr>
      <w:keepNext/>
    </w:pPr>
    <w:rPr>
      <w:rFonts w:ascii="宋体"/>
      <w:color w:val="000000"/>
      <w:kern w:val="0"/>
      <w:sz w:val="28"/>
      <w:szCs w:val="28"/>
    </w:rPr>
  </w:style>
  <w:style w:type="paragraph" w:customStyle="1" w:styleId="43">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semiHidden/>
    <w:qFormat/>
    <w:uiPriority w:val="0"/>
  </w:style>
  <w:style w:type="table" w:customStyle="1" w:styleId="48">
    <w:name w:val="TableNormal"/>
    <w:semiHidden/>
    <w:qFormat/>
    <w:uiPriority w:val="0"/>
    <w:tblPr>
      <w:tblCellMar>
        <w:top w:w="0" w:type="dxa"/>
        <w:left w:w="0" w:type="dxa"/>
        <w:bottom w:w="0" w:type="dxa"/>
        <w:right w:w="0" w:type="dxa"/>
      </w:tblCellMar>
    </w:tblPr>
  </w:style>
  <w:style w:type="character" w:customStyle="1" w:styleId="49">
    <w:name w:val="htmlSamp"/>
    <w:qFormat/>
    <w:uiPriority w:val="0"/>
    <w:rPr>
      <w:rFonts w:ascii="monospace" w:hAnsi="monospace" w:eastAsia="monospace"/>
    </w:rPr>
  </w:style>
  <w:style w:type="character" w:customStyle="1" w:styleId="50">
    <w:name w:val="PageNumber"/>
    <w:basedOn w:val="47"/>
    <w:qFormat/>
    <w:uiPriority w:val="0"/>
  </w:style>
  <w:style w:type="character" w:customStyle="1" w:styleId="51">
    <w:name w:val="HtmlVar"/>
    <w:qFormat/>
    <w:uiPriority w:val="0"/>
  </w:style>
  <w:style w:type="character" w:customStyle="1" w:styleId="52">
    <w:name w:val="HtmlKbd"/>
    <w:qFormat/>
    <w:uiPriority w:val="0"/>
    <w:rPr>
      <w:rFonts w:ascii="monospace" w:hAnsi="monospace" w:eastAsia="monospace"/>
      <w:sz w:val="20"/>
    </w:rPr>
  </w:style>
  <w:style w:type="character" w:customStyle="1" w:styleId="53">
    <w:name w:val="HtmlDfn"/>
    <w:qFormat/>
    <w:uiPriority w:val="0"/>
  </w:style>
  <w:style w:type="character" w:customStyle="1" w:styleId="54">
    <w:name w:val="HtmlCite"/>
    <w:qFormat/>
    <w:uiPriority w:val="0"/>
  </w:style>
  <w:style w:type="character" w:customStyle="1" w:styleId="55">
    <w:name w:val="HtmlAcronym"/>
    <w:basedOn w:val="47"/>
    <w:qFormat/>
    <w:uiPriority w:val="0"/>
  </w:style>
  <w:style w:type="character" w:customStyle="1" w:styleId="56">
    <w:name w:val="HtmlTt"/>
    <w:qFormat/>
    <w:uiPriority w:val="0"/>
    <w:rPr>
      <w:rFonts w:ascii="monospace" w:hAnsi="monospace" w:eastAsia="monospace"/>
      <w:sz w:val="20"/>
    </w:rPr>
  </w:style>
  <w:style w:type="character" w:customStyle="1" w:styleId="57">
    <w:name w:val="AnnotationReference"/>
    <w:semiHidden/>
    <w:qFormat/>
    <w:uiPriority w:val="0"/>
    <w:rPr>
      <w:sz w:val="21"/>
      <w:szCs w:val="21"/>
    </w:rPr>
  </w:style>
  <w:style w:type="character" w:customStyle="1" w:styleId="58">
    <w:name w:val="HtmlCode"/>
    <w:qFormat/>
    <w:uiPriority w:val="0"/>
    <w:rPr>
      <w:rFonts w:ascii="monospace" w:hAnsi="monospace" w:eastAsia="monospace"/>
      <w:sz w:val="20"/>
    </w:rPr>
  </w:style>
  <w:style w:type="character" w:customStyle="1" w:styleId="59">
    <w:name w:val="UserStyle_0"/>
    <w:link w:val="60"/>
    <w:qFormat/>
    <w:locked/>
    <w:uiPriority w:val="0"/>
    <w:rPr>
      <w:rFonts w:ascii="Calibri" w:hAnsi="Calibri"/>
      <w:sz w:val="24"/>
      <w:szCs w:val="24"/>
      <w:lang w:eastAsia="en-US" w:bidi="en-US"/>
    </w:rPr>
  </w:style>
  <w:style w:type="paragraph" w:customStyle="1" w:styleId="60">
    <w:name w:val="UserStyle_1"/>
    <w:basedOn w:val="1"/>
    <w:link w:val="59"/>
    <w:qFormat/>
    <w:uiPriority w:val="0"/>
    <w:pPr>
      <w:ind w:left="720"/>
      <w:contextualSpacing/>
      <w:jc w:val="left"/>
    </w:pPr>
    <w:rPr>
      <w:kern w:val="0"/>
      <w:sz w:val="24"/>
      <w:szCs w:val="24"/>
      <w:lang w:eastAsia="en-US" w:bidi="en-US"/>
    </w:rPr>
  </w:style>
  <w:style w:type="character" w:customStyle="1" w:styleId="61">
    <w:name w:val="UserStyle_2"/>
    <w:basedOn w:val="47"/>
    <w:qFormat/>
    <w:uiPriority w:val="0"/>
  </w:style>
  <w:style w:type="character" w:customStyle="1" w:styleId="62">
    <w:name w:val="UserStyle_3"/>
    <w:basedOn w:val="47"/>
    <w:qFormat/>
    <w:uiPriority w:val="0"/>
  </w:style>
  <w:style w:type="character" w:customStyle="1" w:styleId="63">
    <w:name w:val="UserStyle_4"/>
    <w:link w:val="64"/>
    <w:qFormat/>
    <w:uiPriority w:val="0"/>
    <w:rPr>
      <w:rFonts w:eastAsia="宋体"/>
      <w:kern w:val="2"/>
      <w:sz w:val="21"/>
      <w:szCs w:val="21"/>
      <w:lang w:val="en-US" w:eastAsia="zh-CN" w:bidi="ar-SA"/>
    </w:rPr>
  </w:style>
  <w:style w:type="paragraph" w:customStyle="1" w:styleId="64">
    <w:name w:val="NavPane"/>
    <w:basedOn w:val="1"/>
    <w:link w:val="63"/>
    <w:semiHidden/>
    <w:qFormat/>
    <w:uiPriority w:val="0"/>
    <w:pPr>
      <w:shd w:val="clear" w:color="auto" w:fill="000080"/>
    </w:pPr>
  </w:style>
  <w:style w:type="character" w:customStyle="1" w:styleId="65">
    <w:name w:val="UserStyle_5"/>
    <w:link w:val="37"/>
    <w:qFormat/>
    <w:uiPriority w:val="0"/>
    <w:rPr>
      <w:rFonts w:ascii="楷体_GB2312" w:eastAsia="楷体_GB2312"/>
      <w:kern w:val="2"/>
      <w:sz w:val="28"/>
      <w:szCs w:val="28"/>
    </w:rPr>
  </w:style>
  <w:style w:type="character" w:customStyle="1" w:styleId="66">
    <w:name w:val="UserStyle_6"/>
    <w:qFormat/>
    <w:uiPriority w:val="0"/>
    <w:rPr>
      <w:color w:val="999999"/>
    </w:rPr>
  </w:style>
  <w:style w:type="character" w:customStyle="1" w:styleId="67">
    <w:name w:val="UserStyle_7"/>
    <w:link w:val="39"/>
    <w:qFormat/>
    <w:uiPriority w:val="0"/>
    <w:rPr>
      <w:kern w:val="2"/>
      <w:sz w:val="21"/>
      <w:szCs w:val="21"/>
    </w:rPr>
  </w:style>
  <w:style w:type="character" w:customStyle="1" w:styleId="68">
    <w:name w:val="UserStyle_8"/>
    <w:link w:val="40"/>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Char"/>
    <w:link w:val="16"/>
    <w:qFormat/>
    <w:uiPriority w:val="0"/>
    <w:rPr>
      <w:kern w:val="2"/>
      <w:sz w:val="18"/>
      <w:szCs w:val="18"/>
    </w:rPr>
  </w:style>
  <w:style w:type="character" w:customStyle="1" w:styleId="77">
    <w:name w:val="页眉 Char"/>
    <w:link w:val="18"/>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qFormat/>
    <w:uiPriority w:val="0"/>
    <w:rPr>
      <w:rFonts w:ascii="Tahoma" w:hAnsi="Tahoma" w:eastAsia="宋体"/>
      <w:kern w:val="2"/>
      <w:sz w:val="24"/>
      <w:szCs w:val="24"/>
      <w:lang w:val="en-US" w:eastAsia="zh-CN" w:bidi="ar-SA"/>
    </w:rPr>
  </w:style>
  <w:style w:type="paragraph" w:customStyle="1" w:styleId="82">
    <w:name w:val="UserStyle_19"/>
    <w:basedOn w:val="64"/>
    <w:link w:val="81"/>
    <w:qFormat/>
    <w:uiPriority w:val="0"/>
    <w:pPr>
      <w:snapToGrid w:val="0"/>
      <w:spacing w:line="360" w:lineRule="auto"/>
    </w:pPr>
    <w:rPr>
      <w:rFonts w:ascii="Tahoma" w:hAnsi="Tahoma"/>
      <w:sz w:val="24"/>
      <w:szCs w:val="24"/>
    </w:rPr>
  </w:style>
  <w:style w:type="character" w:customStyle="1" w:styleId="83">
    <w:name w:val="UserStyle_20"/>
    <w:qFormat/>
    <w:uiPriority w:val="0"/>
    <w:rPr>
      <w:rFonts w:eastAsia="宋体"/>
      <w:b/>
      <w:spacing w:val="-2"/>
      <w:sz w:val="24"/>
      <w:lang w:val="en-US" w:eastAsia="zh-CN" w:bidi="ar-SA"/>
    </w:rPr>
  </w:style>
  <w:style w:type="character" w:customStyle="1" w:styleId="84">
    <w:name w:val="UserStyle_21"/>
    <w:link w:val="85"/>
    <w:qFormat/>
    <w:uiPriority w:val="0"/>
    <w:rPr>
      <w:b/>
      <w:kern w:val="2"/>
      <w:sz w:val="30"/>
      <w:szCs w:val="28"/>
      <w:lang w:val="en-US" w:eastAsia="zh-CN" w:bidi="ar-SA"/>
    </w:rPr>
  </w:style>
  <w:style w:type="paragraph" w:customStyle="1" w:styleId="85">
    <w:name w:val="UserStyle_22"/>
    <w:next w:val="1"/>
    <w:link w:val="84"/>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5">
    <w:name w:val="List2"/>
    <w:basedOn w:val="1"/>
    <w:qFormat/>
    <w:uiPriority w:val="0"/>
    <w:pPr>
      <w:ind w:left="100" w:leftChars="200" w:hanging="200" w:hangingChars="200"/>
    </w:pPr>
  </w:style>
  <w:style w:type="paragraph" w:customStyle="1" w:styleId="96">
    <w:name w:val="List3"/>
    <w:basedOn w:val="1"/>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semiHidden/>
    <w:qFormat/>
    <w:uiPriority w:val="0"/>
    <w:pPr>
      <w:ind w:left="210"/>
      <w:jc w:val="left"/>
    </w:pPr>
    <w:rPr>
      <w:smallCaps/>
      <w:szCs w:val="24"/>
    </w:rPr>
  </w:style>
  <w:style w:type="paragraph" w:customStyle="1" w:styleId="105">
    <w:name w:val="TOC8"/>
    <w:basedOn w:val="1"/>
    <w:next w:val="1"/>
    <w:semiHidden/>
    <w:qFormat/>
    <w:uiPriority w:val="0"/>
    <w:pPr>
      <w:ind w:left="1470"/>
      <w:jc w:val="left"/>
    </w:pPr>
  </w:style>
  <w:style w:type="paragraph" w:customStyle="1" w:styleId="106">
    <w:name w:val="TOC7"/>
    <w:basedOn w:val="1"/>
    <w:next w:val="1"/>
    <w:semiHidden/>
    <w:qFormat/>
    <w:uiPriority w:val="0"/>
    <w:pPr>
      <w:ind w:left="1260"/>
      <w:jc w:val="left"/>
    </w:pPr>
  </w:style>
  <w:style w:type="paragraph" w:customStyle="1" w:styleId="107">
    <w:name w:val="BodyText"/>
    <w:basedOn w:val="1"/>
    <w:qFormat/>
    <w:uiPriority w:val="0"/>
    <w:rPr>
      <w:rFonts w:ascii="楷体_GB2312" w:hAnsi="Arial" w:eastAsia="楷体_GB2312"/>
      <w:sz w:val="28"/>
      <w:szCs w:val="28"/>
    </w:rPr>
  </w:style>
  <w:style w:type="paragraph" w:customStyle="1" w:styleId="108">
    <w:name w:val="TOC9"/>
    <w:basedOn w:val="1"/>
    <w:next w:val="1"/>
    <w:semiHidden/>
    <w:qFormat/>
    <w:uiPriority w:val="0"/>
    <w:pPr>
      <w:ind w:left="1680"/>
      <w:jc w:val="left"/>
    </w:pPr>
  </w:style>
  <w:style w:type="paragraph" w:customStyle="1" w:styleId="109">
    <w:name w:val="TOC3"/>
    <w:basedOn w:val="1"/>
    <w:next w:val="1"/>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qFormat/>
    <w:uiPriority w:val="0"/>
    <w:pPr>
      <w:tabs>
        <w:tab w:val="left" w:pos="-720"/>
      </w:tabs>
    </w:pPr>
    <w:rPr>
      <w:spacing w:val="-3"/>
      <w:kern w:val="0"/>
      <w:sz w:val="24"/>
      <w:szCs w:val="20"/>
      <w:lang w:val="en-AU" w:eastAsia="en-US"/>
    </w:rPr>
  </w:style>
  <w:style w:type="paragraph" w:customStyle="1" w:styleId="115">
    <w:name w:val="UserStyle_27"/>
    <w:basedOn w:val="1"/>
    <w:next w:val="1"/>
    <w:qFormat/>
    <w:uiPriority w:val="0"/>
    <w:pPr>
      <w:jc w:val="center"/>
    </w:pPr>
    <w:rPr>
      <w:sz w:val="24"/>
    </w:rPr>
  </w:style>
  <w:style w:type="paragraph" w:customStyle="1" w:styleId="116">
    <w:name w:val="UserStyle_28"/>
    <w:basedOn w:val="1"/>
    <w:qFormat/>
    <w:uiPriority w:val="0"/>
    <w:pPr>
      <w:jc w:val="left"/>
    </w:pPr>
    <w:rPr>
      <w:kern w:val="0"/>
      <w:sz w:val="20"/>
      <w:szCs w:val="20"/>
      <w:lang w:val="de-DE" w:eastAsia="de-DE"/>
    </w:rPr>
  </w:style>
  <w:style w:type="paragraph" w:customStyle="1" w:styleId="117">
    <w:name w:val="UserStyle_29"/>
    <w:basedOn w:val="1"/>
    <w:qFormat/>
    <w:uiPriority w:val="0"/>
    <w:pPr>
      <w:tabs>
        <w:tab w:val="left" w:pos="360"/>
      </w:tabs>
      <w:ind w:firstLine="200" w:firstLineChars="200"/>
    </w:pPr>
    <w:rPr>
      <w:sz w:val="28"/>
      <w:szCs w:val="30"/>
    </w:rPr>
  </w:style>
  <w:style w:type="paragraph" w:customStyle="1" w:styleId="118">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qFormat/>
    <w:uiPriority w:val="0"/>
    <w:pPr>
      <w:spacing w:before="120"/>
      <w:jc w:val="left"/>
    </w:pPr>
    <w:rPr>
      <w:rFonts w:cs="Times New Roman"/>
      <w:bCs/>
      <w:kern w:val="0"/>
      <w:sz w:val="20"/>
      <w:szCs w:val="20"/>
      <w:lang w:val="de-DE" w:eastAsia="de-DE"/>
    </w:rPr>
  </w:style>
  <w:style w:type="paragraph" w:customStyle="1" w:styleId="127">
    <w:name w:val="UserStyle_39"/>
    <w:basedOn w:val="64"/>
    <w:qFormat/>
    <w:uiPriority w:val="0"/>
    <w:pPr>
      <w:snapToGrid w:val="0"/>
      <w:spacing w:line="360" w:lineRule="auto"/>
    </w:pPr>
    <w:rPr>
      <w:rFonts w:ascii="Tahoma" w:hAnsi="Tahoma"/>
      <w:sz w:val="24"/>
      <w:szCs w:val="24"/>
    </w:rPr>
  </w:style>
  <w:style w:type="paragraph" w:customStyle="1" w:styleId="128">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qFormat/>
    <w:uiPriority w:val="0"/>
    <w:pPr>
      <w:snapToGrid w:val="0"/>
      <w:jc w:val="left"/>
    </w:pPr>
    <w:rPr>
      <w:rFonts w:ascii="Arial Unicode MS" w:hAnsi="Arial Unicode MS"/>
      <w:szCs w:val="24"/>
    </w:rPr>
  </w:style>
  <w:style w:type="paragraph" w:customStyle="1" w:styleId="131">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qFormat/>
    <w:uiPriority w:val="0"/>
    <w:rPr>
      <w:rFonts w:ascii="Tahoma" w:hAnsi="Tahoma"/>
      <w:sz w:val="24"/>
      <w:szCs w:val="24"/>
    </w:rPr>
  </w:style>
  <w:style w:type="paragraph" w:customStyle="1" w:styleId="134">
    <w:name w:val="UserStyle_46"/>
    <w:basedOn w:val="1"/>
    <w:qFormat/>
    <w:uiPriority w:val="0"/>
    <w:pPr>
      <w:spacing w:line="360" w:lineRule="auto"/>
    </w:pPr>
    <w:rPr>
      <w:kern w:val="0"/>
      <w:sz w:val="24"/>
      <w:szCs w:val="20"/>
    </w:rPr>
  </w:style>
  <w:style w:type="paragraph" w:customStyle="1" w:styleId="135">
    <w:name w:val="UserStyle_47"/>
    <w:basedOn w:val="1"/>
    <w:qFormat/>
    <w:uiPriority w:val="0"/>
    <w:pPr>
      <w:numPr>
        <w:ilvl w:val="0"/>
        <w:numId w:val="3"/>
      </w:numPr>
    </w:pPr>
    <w:rPr>
      <w:rFonts w:ascii="宋体" w:hAnsi="宋体"/>
      <w:kern w:val="0"/>
    </w:rPr>
  </w:style>
  <w:style w:type="paragraph" w:customStyle="1" w:styleId="136">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qFormat/>
    <w:uiPriority w:val="0"/>
    <w:pPr>
      <w:spacing w:line="360" w:lineRule="auto"/>
      <w:ind w:firstLine="420"/>
    </w:pPr>
    <w:rPr>
      <w:color w:val="FF0000"/>
      <w:sz w:val="24"/>
      <w:szCs w:val="24"/>
    </w:rPr>
  </w:style>
  <w:style w:type="paragraph" w:customStyle="1" w:styleId="141">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qFormat/>
    <w:uiPriority w:val="0"/>
    <w:pPr>
      <w:spacing w:after="120"/>
    </w:pPr>
    <w:rPr>
      <w:rFonts w:ascii="宋体" w:hAnsi="Arial" w:cs="Times New Roman"/>
      <w:bCs/>
      <w:iCs/>
      <w:szCs w:val="24"/>
    </w:rPr>
  </w:style>
  <w:style w:type="paragraph" w:customStyle="1" w:styleId="143">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qFormat/>
    <w:uiPriority w:val="0"/>
    <w:tblPr>
      <w:tblCellMar>
        <w:top w:w="0" w:type="dxa"/>
        <w:left w:w="0" w:type="dxa"/>
        <w:bottom w:w="0" w:type="dxa"/>
        <w:right w:w="0" w:type="dxa"/>
      </w:tblCellMar>
    </w:tblPr>
  </w:style>
  <w:style w:type="paragraph" w:styleId="146">
    <w:name w:val="List Paragraph"/>
    <w:basedOn w:val="1"/>
    <w:qFormat/>
    <w:uiPriority w:val="34"/>
    <w:pPr>
      <w:ind w:left="720"/>
      <w:contextualSpacing/>
      <w:jc w:val="left"/>
    </w:pPr>
    <w:rPr>
      <w:rFonts w:ascii="Calibri" w:hAnsi="Calibri"/>
      <w:kern w:val="0"/>
      <w:sz w:val="24"/>
      <w:lang w:eastAsia="en-US" w:bidi="en-US"/>
    </w:rPr>
  </w:style>
  <w:style w:type="paragraph" w:customStyle="1" w:styleId="147">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qFormat/>
    <w:uiPriority w:val="0"/>
    <w:pPr>
      <w:spacing w:line="440" w:lineRule="exact"/>
      <w:ind w:right="-167" w:rightChars="-167"/>
    </w:pPr>
    <w:rPr>
      <w:b/>
    </w:rPr>
  </w:style>
  <w:style w:type="character" w:customStyle="1" w:styleId="149">
    <w:name w:val="批注框文本 Char"/>
    <w:basedOn w:val="24"/>
    <w:link w:val="15"/>
    <w:qFormat/>
    <w:uiPriority w:val="0"/>
    <w:rPr>
      <w:rFonts w:cstheme="minorBidi"/>
      <w:kern w:val="2"/>
      <w:sz w:val="18"/>
      <w:szCs w:val="18"/>
    </w:rPr>
  </w:style>
  <w:style w:type="character" w:customStyle="1" w:styleId="150">
    <w:name w:val="nth-of-type(2)"/>
    <w:basedOn w:val="24"/>
    <w:qFormat/>
    <w:uiPriority w:val="0"/>
  </w:style>
  <w:style w:type="character" w:customStyle="1" w:styleId="151">
    <w:name w:val="nth-of-type(2)1"/>
    <w:basedOn w:val="24"/>
    <w:qFormat/>
    <w:uiPriority w:val="0"/>
  </w:style>
  <w:style w:type="character" w:customStyle="1" w:styleId="152">
    <w:name w:val="nth-of-type(2)2"/>
    <w:basedOn w:val="24"/>
    <w:qFormat/>
    <w:uiPriority w:val="0"/>
  </w:style>
  <w:style w:type="character" w:customStyle="1" w:styleId="153">
    <w:name w:val="nth-of-type(2)3"/>
    <w:basedOn w:val="24"/>
    <w:qFormat/>
    <w:uiPriority w:val="0"/>
  </w:style>
  <w:style w:type="character" w:customStyle="1" w:styleId="154">
    <w:name w:val="nth-of-type(1)"/>
    <w:basedOn w:val="24"/>
    <w:qFormat/>
    <w:uiPriority w:val="0"/>
  </w:style>
  <w:style w:type="character" w:customStyle="1" w:styleId="155">
    <w:name w:val="nth-of-type(1)1"/>
    <w:basedOn w:val="24"/>
    <w:qFormat/>
    <w:uiPriority w:val="0"/>
  </w:style>
  <w:style w:type="character" w:customStyle="1" w:styleId="156">
    <w:name w:val="nth-of-type(1)2"/>
    <w:basedOn w:val="24"/>
    <w:qFormat/>
    <w:uiPriority w:val="0"/>
  </w:style>
  <w:style w:type="character" w:customStyle="1" w:styleId="157">
    <w:name w:val="first-of-type"/>
    <w:basedOn w:val="24"/>
    <w:qFormat/>
    <w:uiPriority w:val="0"/>
  </w:style>
  <w:style w:type="character" w:customStyle="1" w:styleId="158">
    <w:name w:val="first-of-type1"/>
    <w:basedOn w:val="24"/>
    <w:qFormat/>
    <w:uiPriority w:val="0"/>
  </w:style>
  <w:style w:type="character" w:customStyle="1" w:styleId="159">
    <w:name w:val="apple-converted-space"/>
    <w:basedOn w:val="24"/>
    <w:qFormat/>
    <w:uiPriority w:val="0"/>
  </w:style>
  <w:style w:type="paragraph" w:customStyle="1" w:styleId="160">
    <w:name w:val="纯文本1"/>
    <w:basedOn w:val="1"/>
    <w:qFormat/>
    <w:uiPriority w:val="0"/>
    <w:rPr>
      <w:rFonts w:ascii="宋体" w:hAnsi="Courier New"/>
      <w:sz w:val="28"/>
    </w:rPr>
  </w:style>
  <w:style w:type="paragraph" w:customStyle="1" w:styleId="161">
    <w:name w:val="Table Paragraph"/>
    <w:basedOn w:val="1"/>
    <w:qFormat/>
    <w:uiPriority w:val="1"/>
    <w:rPr>
      <w:rFonts w:cs="Times New Roman"/>
      <w:szCs w:val="24"/>
    </w:rPr>
  </w:style>
  <w:style w:type="paragraph" w:customStyle="1" w:styleId="162">
    <w:name w:val="WPSOffice手动目录 1"/>
    <w:qFormat/>
    <w:uiPriority w:val="0"/>
    <w:rPr>
      <w:rFonts w:ascii="Times New Roman" w:hAnsi="Times New Roman" w:eastAsia="宋体" w:cs="Times New Roman"/>
      <w:lang w:val="en-US" w:eastAsia="zh-CN" w:bidi="ar-SA"/>
    </w:rPr>
  </w:style>
  <w:style w:type="paragraph" w:customStyle="1" w:styleId="163">
    <w:name w:val="z-窗体顶端1"/>
    <w:basedOn w:val="1"/>
    <w:next w:val="1"/>
    <w:qFormat/>
    <w:uiPriority w:val="0"/>
    <w:pPr>
      <w:pBdr>
        <w:bottom w:val="single" w:color="auto" w:sz="6" w:space="1"/>
      </w:pBdr>
      <w:jc w:val="center"/>
    </w:pPr>
    <w:rPr>
      <w:rFonts w:ascii="Arial"/>
      <w:vanish/>
      <w:sz w:val="16"/>
    </w:rPr>
  </w:style>
  <w:style w:type="paragraph" w:customStyle="1" w:styleId="164">
    <w:name w:val="正文0"/>
    <w:basedOn w:val="1"/>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qFormat/>
    <w:uiPriority w:val="0"/>
    <w:pPr>
      <w:tabs>
        <w:tab w:val="left" w:pos="360"/>
      </w:tabs>
      <w:ind w:firstLine="200" w:firstLineChars="200"/>
    </w:pPr>
    <w:rPr>
      <w:sz w:val="28"/>
      <w:szCs w:val="30"/>
    </w:rPr>
  </w:style>
  <w:style w:type="paragraph" w:customStyle="1" w:styleId="167">
    <w:name w:val="普通正文"/>
    <w:basedOn w:val="1"/>
    <w:qFormat/>
    <w:uiPriority w:val="0"/>
    <w:pPr>
      <w:adjustRightInd w:val="0"/>
      <w:spacing w:before="120" w:after="120" w:line="360" w:lineRule="auto"/>
      <w:ind w:firstLine="480"/>
      <w:jc w:val="left"/>
    </w:pPr>
    <w:rPr>
      <w:rFonts w:ascii="Arial" w:hAnsi="Arial"/>
      <w:kern w:val="0"/>
      <w:sz w:val="24"/>
      <w:szCs w:val="24"/>
    </w:rPr>
  </w:style>
  <w:style w:type="paragraph" w:customStyle="1" w:styleId="168">
    <w:name w:val="列出段落3"/>
    <w:basedOn w:val="1"/>
    <w:qFormat/>
    <w:uiPriority w:val="99"/>
    <w:pPr>
      <w:ind w:firstLine="420" w:firstLineChars="200"/>
    </w:pPr>
    <w:rPr>
      <w:rFonts w:ascii="Times New Roman" w:hAnsi="Times New Roman" w:eastAsia="宋体" w:cs="Times New Roman"/>
      <w:szCs w:val="24"/>
    </w:rPr>
  </w:style>
  <w:style w:type="paragraph" w:customStyle="1" w:styleId="16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70">
    <w:name w:val="正文116"/>
    <w:basedOn w:val="1"/>
    <w:qFormat/>
    <w:uiPriority w:val="0"/>
    <w:pPr>
      <w:adjustRightInd w:val="0"/>
      <w:spacing w:line="318" w:lineRule="atLeast"/>
      <w:ind w:left="369" w:firstLine="369" w:firstLineChars="200"/>
    </w:pPr>
    <w:rPr>
      <w:rFonts w:ascii="宋体" w:hAnsi="宋体" w:eastAsia="宋体" w:cs="宋体"/>
      <w:szCs w:val="20"/>
    </w:rPr>
  </w:style>
  <w:style w:type="paragraph" w:customStyle="1" w:styleId="171">
    <w:name w:val="正文格式"/>
    <w:basedOn w:val="1"/>
    <w:qFormat/>
    <w:uiPriority w:val="0"/>
    <w:pPr>
      <w:spacing w:line="400" w:lineRule="exact"/>
      <w:jc w:val="left"/>
    </w:pPr>
    <w:rPr>
      <w:rFonts w:ascii="仿宋" w:hAnsi="仿宋" w:eastAsia="仿宋"/>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ycgy</Company>
  <Pages>54</Pages>
  <Words>22747</Words>
  <Characters>24079</Characters>
  <Lines>172</Lines>
  <Paragraphs>48</Paragraphs>
  <TotalTime>11</TotalTime>
  <ScaleCrop>false</ScaleCrop>
  <LinksUpToDate>false</LinksUpToDate>
  <CharactersWithSpaces>26254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2023-08-24T22:38:00Z</dcterms:created>
  <dc:creator>Administrator</dc:creator>
  <cp:lastModifiedBy>赵萌</cp:lastModifiedBy>
  <cp:lastPrinted>2022-11-29T08:36:00Z</cp:lastPrinted>
  <dcterms:modified xsi:type="dcterms:W3CDTF">2023-11-22T06:30:21Z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58B7BB02D33E4700B1F72270856B9636</vt:lpwstr>
  </property>
</Properties>
</file>